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F10" w:rsidRPr="00194AA6" w:rsidRDefault="00193F10" w:rsidP="00194AA6">
      <w:pPr>
        <w:jc w:val="center"/>
        <w:rPr>
          <w:sz w:val="22"/>
          <w:szCs w:val="22"/>
        </w:rPr>
      </w:pPr>
    </w:p>
    <w:p w:rsidR="00193F10" w:rsidRDefault="005D1658" w:rsidP="00194AA6">
      <w:pPr>
        <w:jc w:val="center"/>
      </w:pPr>
      <w:r>
        <w:rPr>
          <w:noProof/>
        </w:rPr>
        <w:drawing>
          <wp:inline distT="0" distB="0" distL="0" distR="0" wp14:anchorId="4690F8A9" wp14:editId="1A81357B">
            <wp:extent cx="2108082" cy="1989734"/>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57319" cy="2036207"/>
                    </a:xfrm>
                    <a:prstGeom prst="rect">
                      <a:avLst/>
                    </a:prstGeom>
                  </pic:spPr>
                </pic:pic>
              </a:graphicData>
            </a:graphic>
          </wp:inline>
        </w:drawing>
      </w:r>
    </w:p>
    <w:p w:rsidR="001771DC" w:rsidRDefault="001771DC" w:rsidP="00194AA6">
      <w:pPr>
        <w:jc w:val="center"/>
        <w:rPr>
          <w:sz w:val="22"/>
          <w:szCs w:val="22"/>
        </w:rPr>
      </w:pPr>
    </w:p>
    <w:p w:rsidR="005D1658" w:rsidRPr="00194AA6" w:rsidRDefault="005D1658" w:rsidP="00194AA6">
      <w:pPr>
        <w:jc w:val="center"/>
        <w:rPr>
          <w:sz w:val="22"/>
          <w:szCs w:val="22"/>
        </w:rPr>
      </w:pPr>
    </w:p>
    <w:p w:rsidR="00193F10" w:rsidRPr="00F06C57" w:rsidRDefault="00193F10" w:rsidP="003C5D7A">
      <w:pPr>
        <w:jc w:val="center"/>
        <w:rPr>
          <w:b/>
          <w:sz w:val="36"/>
          <w:szCs w:val="36"/>
        </w:rPr>
      </w:pPr>
      <w:r w:rsidRPr="00F06C57">
        <w:rPr>
          <w:b/>
          <w:sz w:val="36"/>
          <w:szCs w:val="36"/>
        </w:rPr>
        <w:t>TECHNICAL EVALUATION</w:t>
      </w:r>
    </w:p>
    <w:p w:rsidR="00193F10" w:rsidRPr="00F06C57" w:rsidRDefault="00193F10" w:rsidP="00194AA6">
      <w:pPr>
        <w:jc w:val="center"/>
        <w:rPr>
          <w:b/>
          <w:sz w:val="36"/>
          <w:szCs w:val="36"/>
        </w:rPr>
      </w:pPr>
      <w:r w:rsidRPr="00F06C57">
        <w:rPr>
          <w:b/>
          <w:sz w:val="36"/>
          <w:szCs w:val="36"/>
        </w:rPr>
        <w:t>&amp;</w:t>
      </w:r>
    </w:p>
    <w:p w:rsidR="00193F10" w:rsidRPr="00F06C57" w:rsidRDefault="00193F10" w:rsidP="00194AA6">
      <w:pPr>
        <w:jc w:val="center"/>
        <w:rPr>
          <w:b/>
          <w:sz w:val="36"/>
          <w:szCs w:val="36"/>
        </w:rPr>
      </w:pPr>
      <w:r w:rsidRPr="00F06C57">
        <w:rPr>
          <w:b/>
          <w:sz w:val="36"/>
          <w:szCs w:val="36"/>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3C5D7A">
      <w:pPr>
        <w:spacing w:after="120"/>
        <w:jc w:val="center"/>
        <w:rPr>
          <w:bCs/>
          <w:szCs w:val="22"/>
        </w:rPr>
      </w:pPr>
      <w:r w:rsidRPr="003C5D7A">
        <w:rPr>
          <w:b/>
          <w:sz w:val="22"/>
          <w:szCs w:val="22"/>
        </w:rPr>
        <w:t>APPLICANT</w:t>
      </w:r>
    </w:p>
    <w:p w:rsidR="00DD57BD" w:rsidRPr="004E6092" w:rsidRDefault="00DD57BD" w:rsidP="00DD57BD">
      <w:pPr>
        <w:widowControl w:val="0"/>
        <w:jc w:val="center"/>
        <w:rPr>
          <w:sz w:val="22"/>
          <w:szCs w:val="22"/>
        </w:rPr>
      </w:pPr>
      <w:r w:rsidRPr="004E6092">
        <w:rPr>
          <w:sz w:val="22"/>
          <w:szCs w:val="22"/>
        </w:rPr>
        <w:t>Florida Power and Light Company</w:t>
      </w:r>
    </w:p>
    <w:p w:rsidR="00DD57BD" w:rsidRPr="004E6092" w:rsidRDefault="00DD57BD" w:rsidP="00DD57BD">
      <w:pPr>
        <w:widowControl w:val="0"/>
        <w:jc w:val="center"/>
        <w:rPr>
          <w:sz w:val="22"/>
          <w:szCs w:val="22"/>
        </w:rPr>
      </w:pPr>
      <w:r w:rsidRPr="004E6092">
        <w:rPr>
          <w:sz w:val="22"/>
          <w:szCs w:val="22"/>
        </w:rPr>
        <w:t>700 Universe Boulevard</w:t>
      </w:r>
    </w:p>
    <w:p w:rsidR="00DD57BD" w:rsidRPr="004E6092" w:rsidRDefault="00DD57BD" w:rsidP="00DD57BD">
      <w:pPr>
        <w:widowControl w:val="0"/>
        <w:jc w:val="center"/>
        <w:rPr>
          <w:sz w:val="22"/>
          <w:szCs w:val="22"/>
        </w:rPr>
      </w:pPr>
      <w:r w:rsidRPr="004E6092">
        <w:rPr>
          <w:sz w:val="22"/>
          <w:szCs w:val="22"/>
        </w:rPr>
        <w:t>Juno Beach, FL 33408</w:t>
      </w:r>
    </w:p>
    <w:p w:rsidR="00194AA6" w:rsidRDefault="00194AA6" w:rsidP="00194AA6">
      <w:pPr>
        <w:widowControl w:val="0"/>
        <w:jc w:val="center"/>
        <w:rPr>
          <w:sz w:val="22"/>
          <w:szCs w:val="22"/>
          <w:highlight w:val="yellow"/>
        </w:rPr>
      </w:pPr>
    </w:p>
    <w:p w:rsidR="00194AA6" w:rsidRPr="00746205" w:rsidRDefault="00DD57BD" w:rsidP="00194AA6">
      <w:pPr>
        <w:widowControl w:val="0"/>
        <w:jc w:val="center"/>
        <w:rPr>
          <w:sz w:val="22"/>
          <w:szCs w:val="22"/>
        </w:rPr>
      </w:pPr>
      <w:bookmarkStart w:id="0" w:name="_Hlk85631312"/>
      <w:r>
        <w:rPr>
          <w:sz w:val="22"/>
          <w:szCs w:val="22"/>
        </w:rPr>
        <w:t>Smith Electric Generating Plant</w:t>
      </w:r>
      <w:bookmarkEnd w:id="0"/>
    </w:p>
    <w:p w:rsidR="00194AA6" w:rsidRDefault="00194AA6" w:rsidP="00194AA6">
      <w:pPr>
        <w:widowControl w:val="0"/>
        <w:jc w:val="center"/>
        <w:rPr>
          <w:sz w:val="22"/>
          <w:szCs w:val="22"/>
        </w:rPr>
      </w:pPr>
      <w:r w:rsidRPr="00746205">
        <w:rPr>
          <w:sz w:val="22"/>
          <w:szCs w:val="22"/>
        </w:rPr>
        <w:t xml:space="preserve">Facility ID No. </w:t>
      </w:r>
      <w:r w:rsidR="00DD57BD">
        <w:rPr>
          <w:sz w:val="22"/>
          <w:szCs w:val="22"/>
        </w:rPr>
        <w:t>0050014</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Default="00193F10" w:rsidP="003C5D7A">
      <w:pPr>
        <w:spacing w:after="120"/>
        <w:jc w:val="center"/>
        <w:rPr>
          <w:bCs/>
        </w:rPr>
      </w:pPr>
      <w:r w:rsidRPr="003C5D7A">
        <w:rPr>
          <w:b/>
          <w:sz w:val="22"/>
          <w:szCs w:val="22"/>
        </w:rPr>
        <w:t>PROJECT</w:t>
      </w:r>
    </w:p>
    <w:p w:rsidR="00193F10" w:rsidRDefault="00193F10" w:rsidP="003C5D7A">
      <w:pPr>
        <w:jc w:val="center"/>
        <w:rPr>
          <w:sz w:val="22"/>
        </w:rPr>
      </w:pPr>
      <w:r>
        <w:rPr>
          <w:sz w:val="22"/>
        </w:rPr>
        <w:t>P</w:t>
      </w:r>
      <w:r w:rsidR="00194AA6">
        <w:rPr>
          <w:sz w:val="22"/>
        </w:rPr>
        <w:t>roject</w:t>
      </w:r>
      <w:r>
        <w:rPr>
          <w:sz w:val="22"/>
        </w:rPr>
        <w:t xml:space="preserve"> No. </w:t>
      </w:r>
      <w:r w:rsidR="00DD57BD">
        <w:rPr>
          <w:sz w:val="22"/>
        </w:rPr>
        <w:t>0050014-035-AC</w:t>
      </w:r>
    </w:p>
    <w:p w:rsidR="00194AA6" w:rsidRDefault="00194AA6" w:rsidP="00194AA6">
      <w:pPr>
        <w:jc w:val="center"/>
        <w:rPr>
          <w:sz w:val="22"/>
        </w:rPr>
      </w:pPr>
      <w:r>
        <w:rPr>
          <w:sz w:val="22"/>
        </w:rPr>
        <w:t xml:space="preserve">Application for </w:t>
      </w:r>
      <w:r w:rsidR="008603FF">
        <w:rPr>
          <w:sz w:val="22"/>
        </w:rPr>
        <w:t xml:space="preserve">Minor Source </w:t>
      </w:r>
      <w:r>
        <w:rPr>
          <w:sz w:val="22"/>
        </w:rPr>
        <w:t>Air Construction Permit</w:t>
      </w:r>
    </w:p>
    <w:p w:rsidR="00193F10" w:rsidRPr="001D487F" w:rsidRDefault="00DD57BD" w:rsidP="00194AA6">
      <w:pPr>
        <w:jc w:val="center"/>
        <w:rPr>
          <w:sz w:val="22"/>
        </w:rPr>
      </w:pPr>
      <w:bookmarkStart w:id="1" w:name="_Hlk85631371"/>
      <w:r w:rsidRPr="0031295E">
        <w:rPr>
          <w:sz w:val="22"/>
        </w:rPr>
        <w:t xml:space="preserve">Winter Upgrades to Unit </w:t>
      </w:r>
      <w:r>
        <w:rPr>
          <w:sz w:val="22"/>
        </w:rPr>
        <w:t>3</w:t>
      </w:r>
      <w:bookmarkEnd w:id="1"/>
    </w:p>
    <w:p w:rsidR="00193F10" w:rsidRDefault="00193F10" w:rsidP="00194AA6">
      <w:pPr>
        <w:jc w:val="center"/>
        <w:rPr>
          <w:sz w:val="22"/>
        </w:rPr>
      </w:pPr>
    </w:p>
    <w:p w:rsidR="00193F10" w:rsidRDefault="00193F10" w:rsidP="00194AA6">
      <w:pPr>
        <w:jc w:val="center"/>
        <w:rPr>
          <w:sz w:val="22"/>
        </w:rPr>
      </w:pPr>
    </w:p>
    <w:p w:rsidR="00193F10" w:rsidRDefault="00193F10" w:rsidP="003C5D7A">
      <w:pPr>
        <w:spacing w:after="120"/>
        <w:jc w:val="center"/>
        <w:rPr>
          <w:bCs/>
        </w:rPr>
      </w:pPr>
      <w:r w:rsidRPr="003C5D7A">
        <w:rPr>
          <w:b/>
          <w:sz w:val="22"/>
          <w:szCs w:val="22"/>
        </w:rPr>
        <w:t>COUNTY</w:t>
      </w:r>
    </w:p>
    <w:p w:rsidR="00193F10" w:rsidRPr="001D487F" w:rsidRDefault="00DD57BD" w:rsidP="00194AA6">
      <w:pPr>
        <w:jc w:val="center"/>
        <w:rPr>
          <w:sz w:val="22"/>
        </w:rPr>
      </w:pPr>
      <w:r>
        <w:rPr>
          <w:sz w:val="22"/>
        </w:rPr>
        <w:t>Bay</w:t>
      </w:r>
      <w:r w:rsidR="001D1649" w:rsidRPr="001D1649">
        <w:rPr>
          <w:sz w:val="22"/>
        </w:rPr>
        <w:t xml:space="preserve"> </w:t>
      </w:r>
      <w:r w:rsidR="00193F10" w:rsidRPr="001D1649">
        <w:rPr>
          <w:sz w:val="22"/>
        </w:rPr>
        <w:t>County</w:t>
      </w:r>
      <w:r w:rsidR="001D487F">
        <w:rPr>
          <w:sz w:val="22"/>
        </w:rPr>
        <w:t>, Florida</w:t>
      </w:r>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Pr="003C5D7A" w:rsidRDefault="00193F10" w:rsidP="003C5D7A">
      <w:pPr>
        <w:spacing w:after="120"/>
        <w:jc w:val="center"/>
        <w:rPr>
          <w:b/>
          <w:sz w:val="22"/>
          <w:szCs w:val="22"/>
        </w:rPr>
      </w:pPr>
      <w:r w:rsidRPr="003C5D7A">
        <w:rPr>
          <w:b/>
          <w:sz w:val="22"/>
          <w:szCs w:val="22"/>
        </w:rPr>
        <w:t>PERMITTING</w:t>
      </w:r>
      <w:r w:rsidR="001D487F" w:rsidRPr="003C5D7A">
        <w:rPr>
          <w:b/>
          <w:sz w:val="22"/>
          <w:szCs w:val="22"/>
        </w:rPr>
        <w:t xml:space="preserve"> </w:t>
      </w:r>
      <w:r w:rsidRPr="003C5D7A">
        <w:rPr>
          <w:b/>
          <w:sz w:val="22"/>
          <w:szCs w:val="22"/>
        </w:rPr>
        <w:t>AUTHORITY</w:t>
      </w:r>
    </w:p>
    <w:p w:rsidR="00194AA6" w:rsidRPr="00746205" w:rsidRDefault="00194AA6" w:rsidP="00194AA6">
      <w:pPr>
        <w:widowControl w:val="0"/>
        <w:jc w:val="center"/>
        <w:rPr>
          <w:sz w:val="22"/>
          <w:szCs w:val="22"/>
        </w:rPr>
      </w:pPr>
      <w:r w:rsidRPr="00746205">
        <w:rPr>
          <w:sz w:val="22"/>
          <w:szCs w:val="22"/>
        </w:rPr>
        <w:t>Florida Department of Environmental Protection</w:t>
      </w:r>
    </w:p>
    <w:p w:rsidR="00194AA6" w:rsidRPr="00746205" w:rsidRDefault="00194AA6" w:rsidP="00194AA6">
      <w:pPr>
        <w:widowControl w:val="0"/>
        <w:jc w:val="center"/>
        <w:rPr>
          <w:sz w:val="22"/>
          <w:szCs w:val="22"/>
        </w:rPr>
      </w:pPr>
      <w:r w:rsidRPr="00746205">
        <w:rPr>
          <w:sz w:val="22"/>
          <w:szCs w:val="22"/>
        </w:rPr>
        <w:t>Division of Air Resource Management</w:t>
      </w:r>
    </w:p>
    <w:p w:rsidR="00194AA6" w:rsidRPr="00746205" w:rsidRDefault="00850561" w:rsidP="00194AA6">
      <w:pPr>
        <w:widowControl w:val="0"/>
        <w:jc w:val="center"/>
        <w:rPr>
          <w:sz w:val="22"/>
          <w:szCs w:val="22"/>
        </w:rPr>
      </w:pPr>
      <w:r>
        <w:rPr>
          <w:sz w:val="22"/>
          <w:szCs w:val="22"/>
        </w:rPr>
        <w:t>Office of Permitting and Compliance</w:t>
      </w:r>
    </w:p>
    <w:p w:rsidR="00194AA6" w:rsidRDefault="00194AA6" w:rsidP="00194AA6">
      <w:pPr>
        <w:widowControl w:val="0"/>
        <w:jc w:val="center"/>
        <w:rPr>
          <w:sz w:val="22"/>
          <w:szCs w:val="22"/>
        </w:rPr>
      </w:pPr>
      <w:r>
        <w:rPr>
          <w:sz w:val="22"/>
          <w:szCs w:val="22"/>
        </w:rPr>
        <w:t>2600 Blair</w:t>
      </w:r>
      <w:r w:rsidR="00FF52D5">
        <w:rPr>
          <w:sz w:val="22"/>
          <w:szCs w:val="22"/>
        </w:rPr>
        <w:t xml:space="preserve"> S</w:t>
      </w:r>
      <w:r>
        <w:rPr>
          <w:sz w:val="22"/>
          <w:szCs w:val="22"/>
        </w:rPr>
        <w:t>tone Road, MS#5505</w:t>
      </w:r>
    </w:p>
    <w:p w:rsidR="00194AA6" w:rsidRDefault="00194AA6" w:rsidP="00194AA6">
      <w:pPr>
        <w:widowControl w:val="0"/>
        <w:jc w:val="center"/>
        <w:rPr>
          <w:sz w:val="22"/>
          <w:szCs w:val="22"/>
        </w:rPr>
      </w:pPr>
      <w:smartTag w:uri="urn:schemas-microsoft-com:office:smarttags" w:element="place">
        <w:smartTag w:uri="urn:schemas-microsoft-com:office:smarttags" w:element="City">
          <w:r>
            <w:rPr>
              <w:sz w:val="22"/>
              <w:szCs w:val="22"/>
            </w:rPr>
            <w:t>Tallahassee</w:t>
          </w:r>
        </w:smartTag>
        <w:r>
          <w:rPr>
            <w:sz w:val="22"/>
            <w:szCs w:val="22"/>
          </w:rPr>
          <w:t xml:space="preserve">, Florida  </w:t>
        </w:r>
        <w:smartTag w:uri="urn:schemas-microsoft-com:office:smarttags" w:element="PostalCode">
          <w:r>
            <w:rPr>
              <w:sz w:val="22"/>
              <w:szCs w:val="22"/>
            </w:rPr>
            <w:t>32399-2400</w:t>
          </w:r>
        </w:smartTag>
      </w:smartTag>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362C15" w:rsidP="00194AA6">
      <w:pPr>
        <w:jc w:val="center"/>
        <w:rPr>
          <w:sz w:val="22"/>
          <w:szCs w:val="22"/>
        </w:rPr>
      </w:pPr>
      <w:r>
        <w:rPr>
          <w:sz w:val="22"/>
        </w:rPr>
        <w:t>November 2, 2021</w:t>
      </w:r>
    </w:p>
    <w:p w:rsidR="00193F10" w:rsidRDefault="00193F10">
      <w:pPr>
        <w:jc w:val="center"/>
        <w:rPr>
          <w:sz w:val="22"/>
        </w:rPr>
        <w:sectPr w:rsidR="00193F10" w:rsidSect="00955781">
          <w:pgSz w:w="12240" w:h="15840" w:code="1"/>
          <w:pgMar w:top="720" w:right="1080" w:bottom="720" w:left="1080" w:header="720" w:footer="720" w:gutter="0"/>
          <w:paperSrc w:first="15" w:other="15"/>
          <w:pgNumType w:start="1"/>
          <w:cols w:space="720"/>
        </w:sectPr>
      </w:pPr>
    </w:p>
    <w:p w:rsidR="00193F10" w:rsidRPr="00F06C57" w:rsidRDefault="00193F10" w:rsidP="00F06C57">
      <w:pPr>
        <w:pStyle w:val="ListParagraph"/>
        <w:numPr>
          <w:ilvl w:val="0"/>
          <w:numId w:val="6"/>
        </w:numPr>
        <w:spacing w:after="120"/>
        <w:ind w:left="720" w:hanging="720"/>
        <w:contextualSpacing w:val="0"/>
        <w:rPr>
          <w:b/>
          <w:caps/>
          <w:sz w:val="22"/>
          <w:szCs w:val="22"/>
        </w:rPr>
      </w:pPr>
      <w:r w:rsidRPr="00F06C57">
        <w:rPr>
          <w:b/>
          <w:caps/>
          <w:sz w:val="22"/>
          <w:szCs w:val="22"/>
        </w:rPr>
        <w:lastRenderedPageBreak/>
        <w:t>General Project INFORMATION</w:t>
      </w:r>
    </w:p>
    <w:p w:rsidR="00EE6112" w:rsidRPr="00F06C57" w:rsidRDefault="00EE6112" w:rsidP="00F06C57">
      <w:pPr>
        <w:pStyle w:val="ListParagraph"/>
        <w:numPr>
          <w:ilvl w:val="1"/>
          <w:numId w:val="6"/>
        </w:numPr>
        <w:spacing w:after="120"/>
        <w:ind w:left="720" w:hanging="720"/>
        <w:contextualSpacing w:val="0"/>
        <w:rPr>
          <w:b/>
          <w:bCs/>
          <w:sz w:val="22"/>
          <w:szCs w:val="22"/>
        </w:rPr>
      </w:pPr>
      <w:r w:rsidRPr="00F06C57">
        <w:rPr>
          <w:b/>
          <w:bCs/>
          <w:sz w:val="22"/>
          <w:szCs w:val="22"/>
        </w:rPr>
        <w:t>Air Pollution Regulations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rsidR="00EE6112" w:rsidRPr="000302D6" w:rsidRDefault="00EE6112" w:rsidP="00FF72AC">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rsidR="00D262B1" w:rsidRPr="00F06C57" w:rsidRDefault="00D262B1" w:rsidP="00F06C57">
      <w:pPr>
        <w:pStyle w:val="ListParagraph"/>
        <w:numPr>
          <w:ilvl w:val="1"/>
          <w:numId w:val="6"/>
        </w:numPr>
        <w:spacing w:after="120"/>
        <w:ind w:left="720" w:hanging="720"/>
        <w:contextualSpacing w:val="0"/>
        <w:rPr>
          <w:b/>
          <w:bCs/>
          <w:sz w:val="22"/>
          <w:szCs w:val="22"/>
        </w:rPr>
      </w:pPr>
      <w:r w:rsidRPr="00F06C57">
        <w:rPr>
          <w:b/>
          <w:bCs/>
          <w:sz w:val="22"/>
          <w:szCs w:val="22"/>
        </w:rPr>
        <w:t>Glossary of Common Terms</w:t>
      </w:r>
    </w:p>
    <w:p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rsidR="00193F10" w:rsidRPr="00F06C57" w:rsidRDefault="00193F10" w:rsidP="00F06C57">
      <w:pPr>
        <w:pStyle w:val="ListParagraph"/>
        <w:numPr>
          <w:ilvl w:val="1"/>
          <w:numId w:val="6"/>
        </w:numPr>
        <w:spacing w:after="120"/>
        <w:ind w:left="720" w:hanging="720"/>
        <w:contextualSpacing w:val="0"/>
        <w:rPr>
          <w:b/>
          <w:bCs/>
          <w:sz w:val="22"/>
          <w:szCs w:val="22"/>
        </w:rPr>
      </w:pPr>
      <w:r w:rsidRPr="00F06C57">
        <w:rPr>
          <w:b/>
          <w:bCs/>
          <w:sz w:val="22"/>
          <w:szCs w:val="22"/>
        </w:rPr>
        <w:t>Facility Description and Location</w:t>
      </w:r>
    </w:p>
    <w:p w:rsidR="000B0FC9" w:rsidRDefault="000B0FC9" w:rsidP="000B0FC9">
      <w:pPr>
        <w:pStyle w:val="BodyText3"/>
        <w:numPr>
          <w:ilvl w:val="12"/>
          <w:numId w:val="0"/>
        </w:numPr>
        <w:spacing w:before="0"/>
        <w:rPr>
          <w:highlight w:val="yellow"/>
        </w:rPr>
      </w:pPr>
      <w:r>
        <w:t xml:space="preserve">The Smith Electric Generating Plant is an existing power plant, which is categorized under </w:t>
      </w:r>
      <w:r>
        <w:rPr>
          <w:bCs/>
        </w:rPr>
        <w:t xml:space="preserve">Standard Industrial Classification Code No. 4911. </w:t>
      </w:r>
      <w:r>
        <w:t xml:space="preserve"> T</w:t>
      </w:r>
      <w:r>
        <w:rPr>
          <w:szCs w:val="22"/>
        </w:rPr>
        <w:t>he Lansing Smith Plant is in Bay County at 4300 County Road 2300 in Lynn Haven, Florida</w:t>
      </w:r>
      <w:r>
        <w:t xml:space="preserve">.  The UTM coordinates of the existing facility are Zone 16; 623.74 Kilometer (km) East and 3349.11 km North.  Latitude is:  30º 16’ 8.4566” North; and, Longitude is:  85º 42’ 2.4149” West.  This site is in an area that is in attainment (or designated as unclassifiable) for all air pollutants subject to Ambient Air Quality Standards (AAQS).  </w:t>
      </w:r>
      <w:r>
        <w:rPr>
          <w:szCs w:val="22"/>
        </w:rPr>
        <w:t xml:space="preserve">The location of Bay County is shown in </w:t>
      </w:r>
      <w:r>
        <w:rPr>
          <w:b/>
          <w:szCs w:val="22"/>
        </w:rPr>
        <w:fldChar w:fldCharType="begin"/>
      </w:r>
      <w:r>
        <w:rPr>
          <w:szCs w:val="22"/>
        </w:rPr>
        <w:instrText xml:space="preserve"> REF _Ref166501 \h </w:instrText>
      </w:r>
      <w:r>
        <w:rPr>
          <w:b/>
          <w:szCs w:val="22"/>
        </w:rPr>
        <w:instrText xml:space="preserve"> \* MERGEFORMAT </w:instrText>
      </w:r>
      <w:r>
        <w:rPr>
          <w:b/>
          <w:szCs w:val="22"/>
        </w:rPr>
      </w:r>
      <w:r>
        <w:rPr>
          <w:b/>
          <w:szCs w:val="22"/>
        </w:rPr>
        <w:fldChar w:fldCharType="separate"/>
      </w:r>
      <w:r>
        <w:rPr>
          <w:b/>
        </w:rPr>
        <w:t xml:space="preserve">Figure </w:t>
      </w:r>
      <w:r>
        <w:rPr>
          <w:b/>
          <w:noProof/>
        </w:rPr>
        <w:t>1</w:t>
      </w:r>
      <w:r>
        <w:rPr>
          <w:b/>
          <w:szCs w:val="22"/>
        </w:rPr>
        <w:fldChar w:fldCharType="end"/>
      </w:r>
      <w:r>
        <w:rPr>
          <w:szCs w:val="22"/>
        </w:rPr>
        <w:t xml:space="preserve"> while the location of the site within Bay County is shown in </w:t>
      </w:r>
      <w:r>
        <w:rPr>
          <w:szCs w:val="22"/>
        </w:rPr>
        <w:fldChar w:fldCharType="begin"/>
      </w:r>
      <w:r>
        <w:rPr>
          <w:szCs w:val="22"/>
        </w:rPr>
        <w:instrText xml:space="preserve"> REF _Ref510252 \h </w:instrText>
      </w:r>
      <w:r>
        <w:rPr>
          <w:szCs w:val="22"/>
        </w:rPr>
      </w:r>
      <w:r>
        <w:rPr>
          <w:szCs w:val="22"/>
        </w:rPr>
        <w:fldChar w:fldCharType="separate"/>
      </w:r>
      <w:r>
        <w:rPr>
          <w:b/>
        </w:rPr>
        <w:t>Figure 2</w:t>
      </w:r>
      <w:r>
        <w:rPr>
          <w:szCs w:val="22"/>
        </w:rPr>
        <w:fldChar w:fldCharType="end"/>
      </w:r>
      <w:r>
        <w:rPr>
          <w:szCs w:val="22"/>
        </w:rPr>
        <w:t xml:space="preserve">.  A satellite view of the Lansing Smith Plant is shown in </w:t>
      </w:r>
      <w:r>
        <w:rPr>
          <w:b/>
          <w:szCs w:val="22"/>
        </w:rPr>
        <w:fldChar w:fldCharType="begin"/>
      </w:r>
      <w:r>
        <w:rPr>
          <w:szCs w:val="22"/>
        </w:rPr>
        <w:instrText xml:space="preserve"> REF _Ref510642 \h </w:instrText>
      </w:r>
      <w:r>
        <w:rPr>
          <w:b/>
          <w:szCs w:val="22"/>
        </w:rPr>
      </w:r>
      <w:r>
        <w:rPr>
          <w:b/>
          <w:szCs w:val="22"/>
        </w:rPr>
        <w:fldChar w:fldCharType="separate"/>
      </w:r>
      <w:r>
        <w:rPr>
          <w:b/>
        </w:rPr>
        <w:t>Figure 3</w:t>
      </w:r>
      <w:r>
        <w:rPr>
          <w:b/>
          <w:szCs w:val="22"/>
        </w:rPr>
        <w:fldChar w:fldCharType="end"/>
      </w:r>
      <w:r>
        <w:rPr>
          <w:szCs w:val="22"/>
        </w:rPr>
        <w:t xml:space="preserve"> below.</w:t>
      </w:r>
    </w:p>
    <w:p w:rsidR="000B0FC9" w:rsidRDefault="00F06C57" w:rsidP="00F06C57">
      <w:pPr>
        <w:pStyle w:val="BodyText3"/>
        <w:numPr>
          <w:ilvl w:val="12"/>
          <w:numId w:val="0"/>
        </w:numPr>
        <w:tabs>
          <w:tab w:val="left" w:pos="5040"/>
        </w:tabs>
        <w:spacing w:before="0"/>
      </w:pPr>
      <w:r>
        <w:rPr>
          <w:noProof/>
        </w:rPr>
        <mc:AlternateContent>
          <mc:Choice Requires="wps">
            <w:drawing>
              <wp:anchor distT="0" distB="0" distL="114300" distR="114300" simplePos="0" relativeHeight="251660288" behindDoc="0" locked="0" layoutInCell="1" allowOverlap="1">
                <wp:simplePos x="0" y="0"/>
                <wp:positionH relativeFrom="column">
                  <wp:posOffset>531530</wp:posOffset>
                </wp:positionH>
                <wp:positionV relativeFrom="paragraph">
                  <wp:posOffset>386789</wp:posOffset>
                </wp:positionV>
                <wp:extent cx="235612" cy="305326"/>
                <wp:effectExtent l="0" t="38100" r="50165" b="19050"/>
                <wp:wrapNone/>
                <wp:docPr id="19" name="Straight Arrow Connector 19"/>
                <wp:cNvGraphicFramePr/>
                <a:graphic xmlns:a="http://schemas.openxmlformats.org/drawingml/2006/main">
                  <a:graphicData uri="http://schemas.microsoft.com/office/word/2010/wordprocessingShape">
                    <wps:wsp>
                      <wps:cNvCnPr/>
                      <wps:spPr>
                        <a:xfrm flipV="1">
                          <a:off x="0" y="0"/>
                          <a:ext cx="235612" cy="305326"/>
                        </a:xfrm>
                        <a:prstGeom prst="straightConnector1">
                          <a:avLst/>
                        </a:prstGeom>
                        <a:noFill/>
                        <a:ln w="12700" cap="flat" cmpd="sng" algn="ctr">
                          <a:solidFill>
                            <a:schemeClr val="tx1"/>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4390CD4B" id="_x0000_t32" coordsize="21600,21600" o:spt="32" o:oned="t" path="m,l21600,21600e" filled="f">
                <v:path arrowok="t" fillok="f" o:connecttype="none"/>
                <o:lock v:ext="edit" shapetype="t"/>
              </v:shapetype>
              <v:shape id="Straight Arrow Connector 19" o:spid="_x0000_s1026" type="#_x0000_t32" style="position:absolute;margin-left:41.85pt;margin-top:30.45pt;width:18.55pt;height:24.0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" strokecolor="black [3213]" strokeweight="1pt">
                <v:stroke endarrow="block" joinstyle="miter"/>
              </v:shape>
            </w:pict>
          </mc:Fallback>
        </mc:AlternateContent>
      </w:r>
      <w:r w:rsidR="000B0FC9">
        <w:rPr>
          <w:noProof/>
        </w:rPr>
        <mc:AlternateContent>
          <mc:Choice Requires="wps">
            <w:drawing>
              <wp:anchor distT="0" distB="0" distL="114300" distR="114300" simplePos="0" relativeHeight="251659264" behindDoc="0" locked="0" layoutInCell="1" allowOverlap="1">
                <wp:simplePos x="0" y="0"/>
                <wp:positionH relativeFrom="column">
                  <wp:posOffset>95250</wp:posOffset>
                </wp:positionH>
                <wp:positionV relativeFrom="paragraph">
                  <wp:posOffset>694055</wp:posOffset>
                </wp:positionV>
                <wp:extent cx="876300" cy="219075"/>
                <wp:effectExtent l="0" t="0" r="0" b="2857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219075"/>
                        </a:xfrm>
                        <a:prstGeom prst="rect">
                          <a:avLst/>
                        </a:prstGeom>
                        <a:noFill/>
                        <a:ln w="9525" cap="flat" cmpd="sng" algn="ctr">
                          <a:noFill/>
                          <a:prstDash val="solid"/>
                          <a:headEnd/>
                          <a:tailEnd/>
                        </a:ln>
                        <a:effectLst>
                          <a:outerShdw blurRad="40000" dist="20000" dir="5400000" rotWithShape="0">
                            <a:srgbClr val="000000">
                              <a:alpha val="38000"/>
                            </a:srgbClr>
                          </a:outerShdw>
                        </a:effectLst>
                      </wps:spPr>
                      <wps:txbx>
                        <w:txbxContent>
                          <w:p w:rsidR="000B0FC9" w:rsidRDefault="000B0FC9" w:rsidP="000B0FC9">
                            <w:pPr>
                              <w:jc w:val="center"/>
                              <w:rPr>
                                <w:b/>
                                <w:sz w:val="18"/>
                                <w:szCs w:val="18"/>
                              </w:rPr>
                            </w:pPr>
                            <w:r>
                              <w:rPr>
                                <w:b/>
                                <w:sz w:val="18"/>
                                <w:szCs w:val="18"/>
                              </w:rPr>
                              <w:t>Bay County</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margin-left:7.5pt;margin-top:54.65pt;width:69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" filled="f" stroked="f">
                <v:shadow on="t" color="black" opacity="24903f" origin=",.5" offset="0,.55556mm"/>
                <v:textbox>
                  <w:txbxContent>
                    <w:p w:rsidR="000B0FC9" w:rsidRDefault="000B0FC9" w:rsidP="000B0FC9">
                      <w:pPr>
                        <w:jc w:val="center"/>
                        <w:rPr>
                          <w:b/>
                          <w:sz w:val="18"/>
                          <w:szCs w:val="18"/>
                        </w:rPr>
                      </w:pPr>
                      <w:r>
                        <w:rPr>
                          <w:b/>
                          <w:sz w:val="18"/>
                          <w:szCs w:val="18"/>
                        </w:rPr>
                        <w:t>Bay County</w:t>
                      </w:r>
                    </w:p>
                  </w:txbxContent>
                </v:textbox>
              </v:shape>
            </w:pict>
          </mc:Fallback>
        </mc:AlternateContent>
      </w:r>
      <w:r w:rsidR="000B0FC9">
        <w:rPr>
          <w:noProof/>
        </w:rPr>
        <w:drawing>
          <wp:inline distT="0" distB="0" distL="0" distR="0">
            <wp:extent cx="2886834" cy="2777909"/>
            <wp:effectExtent l="19050" t="19050" r="27940" b="2286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3293" cy="2784124"/>
                    </a:xfrm>
                    <a:prstGeom prst="rect">
                      <a:avLst/>
                    </a:prstGeom>
                    <a:noFill/>
                    <a:ln w="19050" cmpd="sng">
                      <a:solidFill>
                        <a:srgbClr val="000000"/>
                      </a:solidFill>
                      <a:miter lim="800000"/>
                      <a:headEnd/>
                      <a:tailEnd/>
                    </a:ln>
                    <a:effectLst/>
                  </pic:spPr>
                </pic:pic>
              </a:graphicData>
            </a:graphic>
          </wp:inline>
        </w:drawing>
      </w:r>
      <w:r w:rsidR="000B0FC9">
        <w:tab/>
      </w:r>
      <w:r w:rsidR="000B0FC9">
        <w:rPr>
          <w:noProof/>
        </w:rPr>
        <w:drawing>
          <wp:inline distT="0" distB="0" distL="0" distR="0">
            <wp:extent cx="3043910" cy="2776115"/>
            <wp:effectExtent l="19050" t="19050" r="23495" b="247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2506" cy="2783954"/>
                    </a:xfrm>
                    <a:prstGeom prst="rect">
                      <a:avLst/>
                    </a:prstGeom>
                    <a:noFill/>
                    <a:ln w="19050" cmpd="sng">
                      <a:solidFill>
                        <a:srgbClr val="000000"/>
                      </a:solidFill>
                      <a:miter lim="800000"/>
                      <a:headEnd/>
                      <a:tailEnd/>
                    </a:ln>
                    <a:effectLst/>
                  </pic:spPr>
                </pic:pic>
              </a:graphicData>
            </a:graphic>
          </wp:inline>
        </w:drawing>
      </w:r>
    </w:p>
    <w:p w:rsidR="000B0FC9" w:rsidRDefault="000B0FC9" w:rsidP="000B0FC9">
      <w:pPr>
        <w:pStyle w:val="Heading9"/>
        <w:keepNext w:val="0"/>
        <w:widowControl w:val="0"/>
        <w:tabs>
          <w:tab w:val="left" w:pos="5490"/>
        </w:tabs>
        <w:spacing w:before="120"/>
        <w:ind w:left="446"/>
        <w:rPr>
          <w:b/>
          <w:u w:val="none"/>
        </w:rPr>
      </w:pPr>
      <w:bookmarkStart w:id="2" w:name="_Ref166501"/>
      <w:r>
        <w:rPr>
          <w:b/>
          <w:u w:val="none"/>
        </w:rPr>
        <w:t xml:space="preserve">Figure </w:t>
      </w:r>
      <w:r>
        <w:fldChar w:fldCharType="begin"/>
      </w:r>
      <w:r>
        <w:rPr>
          <w:b/>
          <w:u w:val="none"/>
        </w:rPr>
        <w:instrText xml:space="preserve"> SEQ Figure \* ARABIC </w:instrText>
      </w:r>
      <w:r>
        <w:fldChar w:fldCharType="separate"/>
      </w:r>
      <w:r>
        <w:rPr>
          <w:b/>
          <w:noProof/>
          <w:u w:val="none"/>
        </w:rPr>
        <w:t>1</w:t>
      </w:r>
      <w:r>
        <w:fldChar w:fldCharType="end"/>
      </w:r>
      <w:bookmarkEnd w:id="2"/>
      <w:r>
        <w:rPr>
          <w:b/>
          <w:u w:val="none"/>
        </w:rPr>
        <w:t>.  Location of Bay County.</w:t>
      </w:r>
      <w:r>
        <w:rPr>
          <w:b/>
          <w:u w:val="none"/>
        </w:rPr>
        <w:tab/>
      </w:r>
      <w:bookmarkStart w:id="3" w:name="_Ref510252"/>
      <w:r>
        <w:rPr>
          <w:b/>
          <w:u w:val="none"/>
        </w:rPr>
        <w:t xml:space="preserve">Figure </w:t>
      </w:r>
      <w:r>
        <w:fldChar w:fldCharType="begin"/>
      </w:r>
      <w:r>
        <w:rPr>
          <w:b/>
          <w:u w:val="none"/>
        </w:rPr>
        <w:instrText xml:space="preserve"> SEQ Figure \* ARABIC </w:instrText>
      </w:r>
      <w:r>
        <w:fldChar w:fldCharType="separate"/>
      </w:r>
      <w:r>
        <w:rPr>
          <w:b/>
          <w:noProof/>
          <w:u w:val="none"/>
        </w:rPr>
        <w:t>2</w:t>
      </w:r>
      <w:r>
        <w:fldChar w:fldCharType="end"/>
      </w:r>
      <w:bookmarkEnd w:id="3"/>
      <w:r>
        <w:rPr>
          <w:b/>
          <w:u w:val="none"/>
        </w:rPr>
        <w:t>.  Location of Lansing Smith Plant.</w:t>
      </w:r>
    </w:p>
    <w:p w:rsidR="000B0FC9" w:rsidRDefault="000B0FC9" w:rsidP="000B0FC9">
      <w:pPr>
        <w:pStyle w:val="BodyText3"/>
        <w:numPr>
          <w:ilvl w:val="12"/>
          <w:numId w:val="0"/>
        </w:numPr>
        <w:tabs>
          <w:tab w:val="left" w:pos="5220"/>
        </w:tabs>
        <w:spacing w:before="0"/>
        <w:jc w:val="center"/>
        <w:rPr>
          <w:u w:val="single"/>
        </w:rPr>
      </w:pPr>
      <w:r>
        <w:rPr>
          <w:noProof/>
        </w:rPr>
        <w:lastRenderedPageBreak/>
        <w:drawing>
          <wp:inline distT="0" distB="0" distL="0" distR="0">
            <wp:extent cx="6082665" cy="2361565"/>
            <wp:effectExtent l="19050" t="19050" r="1333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r="3508" b="9956"/>
                    <a:stretch>
                      <a:fillRect/>
                    </a:stretch>
                  </pic:blipFill>
                  <pic:spPr bwMode="auto">
                    <a:xfrm>
                      <a:off x="0" y="0"/>
                      <a:ext cx="6082665" cy="2361565"/>
                    </a:xfrm>
                    <a:prstGeom prst="rect">
                      <a:avLst/>
                    </a:prstGeom>
                    <a:noFill/>
                    <a:ln w="19050" cmpd="sng">
                      <a:solidFill>
                        <a:srgbClr val="000000"/>
                      </a:solidFill>
                      <a:miter lim="800000"/>
                      <a:headEnd/>
                      <a:tailEnd/>
                    </a:ln>
                    <a:effectLst/>
                  </pic:spPr>
                </pic:pic>
              </a:graphicData>
            </a:graphic>
          </wp:inline>
        </w:drawing>
      </w:r>
    </w:p>
    <w:p w:rsidR="000B0FC9" w:rsidRDefault="000B0FC9" w:rsidP="000B0FC9">
      <w:pPr>
        <w:pStyle w:val="Heading9"/>
        <w:keepNext w:val="0"/>
        <w:widowControl w:val="0"/>
        <w:tabs>
          <w:tab w:val="left" w:pos="5490"/>
        </w:tabs>
        <w:spacing w:before="120"/>
        <w:ind w:left="446"/>
        <w:jc w:val="center"/>
        <w:rPr>
          <w:b/>
          <w:u w:val="none"/>
        </w:rPr>
      </w:pPr>
      <w:bookmarkStart w:id="4" w:name="_Ref510642"/>
      <w:r>
        <w:rPr>
          <w:b/>
          <w:u w:val="none"/>
        </w:rPr>
        <w:t xml:space="preserve">Figure </w:t>
      </w:r>
      <w:r>
        <w:fldChar w:fldCharType="begin"/>
      </w:r>
      <w:r>
        <w:rPr>
          <w:b/>
          <w:u w:val="none"/>
        </w:rPr>
        <w:instrText xml:space="preserve"> SEQ Figure \* ARABIC </w:instrText>
      </w:r>
      <w:r>
        <w:fldChar w:fldCharType="separate"/>
      </w:r>
      <w:r>
        <w:rPr>
          <w:b/>
          <w:noProof/>
          <w:u w:val="none"/>
        </w:rPr>
        <w:t>3</w:t>
      </w:r>
      <w:r>
        <w:fldChar w:fldCharType="end"/>
      </w:r>
      <w:bookmarkEnd w:id="4"/>
      <w:r>
        <w:rPr>
          <w:b/>
          <w:u w:val="none"/>
        </w:rPr>
        <w:t>.  Satellite View of Lansing Smith Plant.</w:t>
      </w:r>
    </w:p>
    <w:p w:rsidR="00FF72AC" w:rsidRPr="00FF72AC" w:rsidRDefault="00401C71" w:rsidP="00FF72AC">
      <w:pPr>
        <w:pStyle w:val="Heading9"/>
        <w:keepNext w:val="0"/>
        <w:widowControl w:val="0"/>
        <w:ind w:left="0"/>
        <w:rPr>
          <w:szCs w:val="22"/>
          <w:u w:val="none"/>
        </w:rPr>
      </w:pPr>
      <w:r w:rsidRPr="00FF72AC">
        <w:rPr>
          <w:u w:val="none"/>
        </w:rPr>
        <w:t>This facility consists of</w:t>
      </w:r>
      <w:r w:rsidRPr="00FF72AC">
        <w:rPr>
          <w:b/>
          <w:u w:val="none"/>
        </w:rPr>
        <w:t xml:space="preserve"> </w:t>
      </w:r>
      <w:r w:rsidRPr="00FF72AC">
        <w:rPr>
          <w:u w:val="none"/>
        </w:rPr>
        <w:t>a Pratt &amp; Whitney Twin-Pac combustion turbine peaking unit</w:t>
      </w:r>
      <w:r w:rsidRPr="00FF72AC">
        <w:rPr>
          <w:strike/>
          <w:u w:val="none"/>
        </w:rPr>
        <w:t>,</w:t>
      </w:r>
      <w:r w:rsidRPr="00FF72AC">
        <w:rPr>
          <w:u w:val="none"/>
        </w:rPr>
        <w:t xml:space="preserve"> and two gas-fired combined-cycle combustion turbine (CCCT) electrical generators with duct-fired heat recovery steam generators (HRSG).  The Twin-Pac system, designated as Unit A, has a maximum heat input of 542 million British thermal units per hour (MMBtu/hour) and is authorized to fire No. 2 fuel only.  The two combined-cycle combustion turbines, designated as Units 3A &amp; 3B, can achieve a nominal 610 megawatts (MW), at annual average site conditions, with duct burners, while firing exclusively </w:t>
      </w:r>
      <w:r w:rsidRPr="00FF72AC">
        <w:rPr>
          <w:szCs w:val="22"/>
          <w:u w:val="none"/>
        </w:rPr>
        <w:t>natural gas.</w:t>
      </w:r>
      <w:r w:rsidR="00FF72AC" w:rsidRPr="00FF72AC">
        <w:rPr>
          <w:szCs w:val="22"/>
          <w:u w:val="none"/>
        </w:rPr>
        <w:t xml:space="preserve">  A list if the emission units (EU) at the facility are given in </w:t>
      </w:r>
      <w:r w:rsidR="00FF72AC" w:rsidRPr="00FF72AC">
        <w:rPr>
          <w:szCs w:val="22"/>
          <w:u w:val="none"/>
        </w:rPr>
        <w:fldChar w:fldCharType="begin"/>
      </w:r>
      <w:r w:rsidR="00FF72AC" w:rsidRPr="00FF72AC">
        <w:rPr>
          <w:szCs w:val="22"/>
          <w:u w:val="none"/>
        </w:rPr>
        <w:instrText xml:space="preserve"> REF _Ref31197382 \h  \* MERGEFORMAT </w:instrText>
      </w:r>
      <w:r w:rsidR="00FF72AC" w:rsidRPr="00FF72AC">
        <w:rPr>
          <w:szCs w:val="22"/>
          <w:u w:val="none"/>
        </w:rPr>
      </w:r>
      <w:r w:rsidR="00FF72AC" w:rsidRPr="00FF72AC">
        <w:rPr>
          <w:szCs w:val="22"/>
          <w:u w:val="none"/>
        </w:rPr>
        <w:fldChar w:fldCharType="separate"/>
      </w:r>
      <w:r w:rsidR="00FF72AC" w:rsidRPr="00FF72AC">
        <w:rPr>
          <w:b/>
          <w:szCs w:val="22"/>
          <w:u w:val="none"/>
        </w:rPr>
        <w:t xml:space="preserve">Table </w:t>
      </w:r>
      <w:r w:rsidR="00FF72AC" w:rsidRPr="00FF72AC">
        <w:rPr>
          <w:b/>
          <w:noProof/>
          <w:szCs w:val="22"/>
          <w:u w:val="none"/>
        </w:rPr>
        <w:t>1</w:t>
      </w:r>
      <w:r w:rsidR="00FF72AC" w:rsidRPr="00FF72AC">
        <w:rPr>
          <w:szCs w:val="22"/>
          <w:u w:val="none"/>
        </w:rPr>
        <w:fldChar w:fldCharType="end"/>
      </w:r>
      <w:r w:rsidR="00FF72AC" w:rsidRPr="00FF72AC">
        <w:rPr>
          <w:szCs w:val="22"/>
          <w:u w:val="none"/>
        </w:rPr>
        <w:t>.</w:t>
      </w:r>
    </w:p>
    <w:p w:rsidR="00FF72AC" w:rsidRPr="00AC1630" w:rsidRDefault="00FF72AC" w:rsidP="00FF72AC">
      <w:pPr>
        <w:pStyle w:val="Caption"/>
        <w:spacing w:after="120"/>
        <w:jc w:val="center"/>
        <w:rPr>
          <w:rFonts w:ascii="Times New Roman Bold" w:hAnsi="Times New Roman Bold"/>
          <w:b/>
          <w:i w:val="0"/>
          <w:caps/>
          <w:color w:val="auto"/>
          <w:sz w:val="22"/>
          <w:szCs w:val="22"/>
        </w:rPr>
      </w:pPr>
      <w:bookmarkStart w:id="5" w:name="_Ref31197382"/>
      <w:r w:rsidRPr="00AC1630">
        <w:rPr>
          <w:rFonts w:ascii="Times New Roman Bold" w:hAnsi="Times New Roman Bold"/>
          <w:b/>
          <w:i w:val="0"/>
          <w:caps/>
          <w:color w:val="auto"/>
          <w:sz w:val="22"/>
          <w:szCs w:val="22"/>
        </w:rPr>
        <w:t xml:space="preserve">Table </w:t>
      </w:r>
      <w:r w:rsidRPr="00AC1630">
        <w:rPr>
          <w:rFonts w:ascii="Times New Roman Bold" w:hAnsi="Times New Roman Bold"/>
          <w:b/>
          <w:i w:val="0"/>
          <w:caps/>
          <w:color w:val="auto"/>
          <w:sz w:val="22"/>
          <w:szCs w:val="22"/>
        </w:rPr>
        <w:fldChar w:fldCharType="begin"/>
      </w:r>
      <w:r w:rsidRPr="00AC1630">
        <w:rPr>
          <w:rFonts w:ascii="Times New Roman Bold" w:hAnsi="Times New Roman Bold"/>
          <w:b/>
          <w:i w:val="0"/>
          <w:caps/>
          <w:color w:val="auto"/>
          <w:sz w:val="22"/>
          <w:szCs w:val="22"/>
        </w:rPr>
        <w:instrText xml:space="preserve"> SEQ Table \* ARABIC </w:instrText>
      </w:r>
      <w:r w:rsidRPr="00AC1630">
        <w:rPr>
          <w:rFonts w:ascii="Times New Roman Bold" w:hAnsi="Times New Roman Bold"/>
          <w:b/>
          <w:i w:val="0"/>
          <w:caps/>
          <w:color w:val="auto"/>
          <w:sz w:val="22"/>
          <w:szCs w:val="22"/>
        </w:rPr>
        <w:fldChar w:fldCharType="separate"/>
      </w:r>
      <w:r>
        <w:rPr>
          <w:rFonts w:ascii="Times New Roman Bold" w:hAnsi="Times New Roman Bold"/>
          <w:b/>
          <w:i w:val="0"/>
          <w:caps/>
          <w:noProof/>
          <w:color w:val="auto"/>
          <w:sz w:val="22"/>
          <w:szCs w:val="22"/>
        </w:rPr>
        <w:t>1</w:t>
      </w:r>
      <w:r w:rsidRPr="00AC1630">
        <w:rPr>
          <w:rFonts w:ascii="Times New Roman Bold" w:hAnsi="Times New Roman Bold"/>
          <w:b/>
          <w:i w:val="0"/>
          <w:caps/>
          <w:color w:val="auto"/>
          <w:sz w:val="22"/>
          <w:szCs w:val="22"/>
        </w:rPr>
        <w:fldChar w:fldCharType="end"/>
      </w:r>
      <w:bookmarkEnd w:id="5"/>
      <w:r>
        <w:rPr>
          <w:rFonts w:ascii="Times New Roman Bold" w:hAnsi="Times New Roman Bold"/>
          <w:b/>
          <w:i w:val="0"/>
          <w:caps/>
          <w:color w:val="auto"/>
          <w:sz w:val="22"/>
          <w:szCs w:val="22"/>
        </w:rPr>
        <w:t xml:space="preserve"> – list of EU</w:t>
      </w:r>
      <w:r w:rsidRPr="00AC1630">
        <w:rPr>
          <w:rFonts w:ascii="Times New Roman Bold" w:hAnsi="Times New Roman Bold"/>
          <w:b/>
          <w:i w:val="0"/>
          <w:color w:val="auto"/>
          <w:sz w:val="22"/>
          <w:szCs w:val="22"/>
        </w:rPr>
        <w:t>s</w:t>
      </w:r>
      <w:r>
        <w:rPr>
          <w:rFonts w:ascii="Times New Roman Bold" w:hAnsi="Times New Roman Bold"/>
          <w:b/>
          <w:i w:val="0"/>
          <w:caps/>
          <w:color w:val="auto"/>
          <w:sz w:val="22"/>
          <w:szCs w:val="22"/>
        </w:rPr>
        <w:t xml:space="preserve"> at the facility.</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825"/>
      </w:tblGrid>
      <w:tr w:rsidR="00FF72AC" w:rsidRPr="0048284D" w:rsidTr="00A67A8D">
        <w:trPr>
          <w:tblHeader/>
        </w:trPr>
        <w:tc>
          <w:tcPr>
            <w:tcW w:w="1035" w:type="dxa"/>
            <w:tcBorders>
              <w:bottom w:val="single" w:sz="12" w:space="0" w:color="auto"/>
              <w:right w:val="single" w:sz="4" w:space="0" w:color="auto"/>
            </w:tcBorders>
            <w:shd w:val="clear" w:color="auto" w:fill="B8CCE4" w:themeFill="accent1" w:themeFillTint="66"/>
          </w:tcPr>
          <w:p w:rsidR="00FF72AC" w:rsidRPr="0048284D" w:rsidRDefault="00FF72AC" w:rsidP="00A67A8D">
            <w:pPr>
              <w:pStyle w:val="BodyText2"/>
              <w:widowControl w:val="0"/>
              <w:numPr>
                <w:ilvl w:val="0"/>
                <w:numId w:val="0"/>
              </w:numPr>
              <w:spacing w:after="0"/>
              <w:jc w:val="center"/>
              <w:rPr>
                <w:b/>
                <w:sz w:val="20"/>
              </w:rPr>
            </w:pPr>
            <w:r w:rsidRPr="0048284D">
              <w:rPr>
                <w:b/>
                <w:sz w:val="20"/>
              </w:rPr>
              <w:t>EU No.</w:t>
            </w:r>
          </w:p>
        </w:tc>
        <w:tc>
          <w:tcPr>
            <w:tcW w:w="8825" w:type="dxa"/>
            <w:tcBorders>
              <w:left w:val="single" w:sz="4" w:space="0" w:color="auto"/>
              <w:bottom w:val="single" w:sz="12" w:space="0" w:color="auto"/>
            </w:tcBorders>
            <w:shd w:val="clear" w:color="auto" w:fill="B8CCE4" w:themeFill="accent1" w:themeFillTint="66"/>
          </w:tcPr>
          <w:p w:rsidR="00FF72AC" w:rsidRPr="0048284D" w:rsidRDefault="00FF72AC" w:rsidP="00A67A8D">
            <w:pPr>
              <w:pStyle w:val="BodyText2"/>
              <w:widowControl w:val="0"/>
              <w:numPr>
                <w:ilvl w:val="0"/>
                <w:numId w:val="0"/>
              </w:numPr>
              <w:spacing w:after="0"/>
              <w:jc w:val="left"/>
              <w:rPr>
                <w:b/>
                <w:sz w:val="20"/>
              </w:rPr>
            </w:pPr>
            <w:r w:rsidRPr="0048284D">
              <w:rPr>
                <w:b/>
                <w:sz w:val="20"/>
              </w:rPr>
              <w:t>Description</w:t>
            </w:r>
          </w:p>
        </w:tc>
      </w:tr>
      <w:tr w:rsidR="00FF72AC" w:rsidRPr="0048284D" w:rsidTr="00615D68">
        <w:tc>
          <w:tcPr>
            <w:tcW w:w="1035" w:type="dxa"/>
            <w:tcBorders>
              <w:top w:val="single" w:sz="12" w:space="0" w:color="auto"/>
              <w:left w:val="single" w:sz="12" w:space="0" w:color="auto"/>
              <w:bottom w:val="single" w:sz="6" w:space="0" w:color="auto"/>
              <w:right w:val="single" w:sz="6" w:space="0" w:color="auto"/>
            </w:tcBorders>
            <w:vAlign w:val="center"/>
          </w:tcPr>
          <w:p w:rsidR="00FF72AC" w:rsidRPr="0048284D" w:rsidRDefault="00FF72AC" w:rsidP="00FF72AC">
            <w:pPr>
              <w:jc w:val="center"/>
              <w:rPr>
                <w:b/>
              </w:rPr>
            </w:pPr>
            <w:r w:rsidRPr="0048284D">
              <w:rPr>
                <w:b/>
              </w:rPr>
              <w:t>003</w:t>
            </w:r>
          </w:p>
        </w:tc>
        <w:tc>
          <w:tcPr>
            <w:tcW w:w="8825" w:type="dxa"/>
            <w:tcBorders>
              <w:top w:val="single" w:sz="12" w:space="0" w:color="auto"/>
              <w:left w:val="single" w:sz="6" w:space="0" w:color="auto"/>
              <w:bottom w:val="single" w:sz="6" w:space="0" w:color="auto"/>
              <w:right w:val="single" w:sz="12" w:space="0" w:color="auto"/>
            </w:tcBorders>
            <w:vAlign w:val="center"/>
          </w:tcPr>
          <w:p w:rsidR="00FF72AC" w:rsidRPr="0048284D" w:rsidRDefault="00FF72AC" w:rsidP="00FF72AC">
            <w:pPr>
              <w:ind w:left="82"/>
            </w:pPr>
            <w:r w:rsidRPr="0048284D">
              <w:t xml:space="preserve">Twin-Pac Combustion Turbine Peaking Unit (Unit A) </w:t>
            </w:r>
          </w:p>
        </w:tc>
      </w:tr>
      <w:tr w:rsidR="00FF72AC" w:rsidRPr="0048284D" w:rsidTr="00615D68">
        <w:tc>
          <w:tcPr>
            <w:tcW w:w="1035" w:type="dxa"/>
            <w:tcBorders>
              <w:top w:val="single" w:sz="6" w:space="0" w:color="auto"/>
              <w:left w:val="single" w:sz="12" w:space="0" w:color="auto"/>
              <w:bottom w:val="single" w:sz="6" w:space="0" w:color="auto"/>
              <w:right w:val="single" w:sz="6" w:space="0" w:color="auto"/>
            </w:tcBorders>
            <w:vAlign w:val="center"/>
          </w:tcPr>
          <w:p w:rsidR="00FF72AC" w:rsidRPr="0048284D" w:rsidRDefault="00FF72AC" w:rsidP="00FF72AC">
            <w:pPr>
              <w:jc w:val="center"/>
              <w:rPr>
                <w:b/>
              </w:rPr>
            </w:pPr>
            <w:r w:rsidRPr="0048284D">
              <w:rPr>
                <w:b/>
              </w:rPr>
              <w:t>004</w:t>
            </w:r>
          </w:p>
        </w:tc>
        <w:tc>
          <w:tcPr>
            <w:tcW w:w="8825" w:type="dxa"/>
            <w:tcBorders>
              <w:top w:val="single" w:sz="6" w:space="0" w:color="auto"/>
              <w:left w:val="single" w:sz="6" w:space="0" w:color="auto"/>
              <w:bottom w:val="single" w:sz="6" w:space="0" w:color="auto"/>
              <w:right w:val="single" w:sz="12" w:space="0" w:color="auto"/>
            </w:tcBorders>
            <w:vAlign w:val="center"/>
          </w:tcPr>
          <w:p w:rsidR="00FF72AC" w:rsidRPr="0048284D" w:rsidRDefault="00FF72AC" w:rsidP="00FF72AC">
            <w:pPr>
              <w:ind w:left="82"/>
            </w:pPr>
            <w:r w:rsidRPr="0048284D">
              <w:t>Gas Combustion Turbine with HRSG and Duct Burner (Unit 3A)</w:t>
            </w:r>
          </w:p>
        </w:tc>
      </w:tr>
      <w:tr w:rsidR="00FF72AC" w:rsidRPr="0048284D" w:rsidTr="00615D68">
        <w:tc>
          <w:tcPr>
            <w:tcW w:w="1035" w:type="dxa"/>
            <w:tcBorders>
              <w:top w:val="single" w:sz="6" w:space="0" w:color="auto"/>
              <w:left w:val="single" w:sz="12" w:space="0" w:color="auto"/>
              <w:bottom w:val="single" w:sz="6" w:space="0" w:color="auto"/>
              <w:right w:val="single" w:sz="6" w:space="0" w:color="auto"/>
            </w:tcBorders>
            <w:vAlign w:val="center"/>
          </w:tcPr>
          <w:p w:rsidR="00FF72AC" w:rsidRPr="0048284D" w:rsidRDefault="00FF72AC" w:rsidP="00FF72AC">
            <w:pPr>
              <w:jc w:val="center"/>
              <w:rPr>
                <w:b/>
              </w:rPr>
            </w:pPr>
            <w:r w:rsidRPr="0048284D">
              <w:rPr>
                <w:b/>
              </w:rPr>
              <w:t>005</w:t>
            </w:r>
          </w:p>
        </w:tc>
        <w:tc>
          <w:tcPr>
            <w:tcW w:w="8825" w:type="dxa"/>
            <w:tcBorders>
              <w:top w:val="single" w:sz="6" w:space="0" w:color="auto"/>
              <w:left w:val="single" w:sz="6" w:space="0" w:color="auto"/>
              <w:bottom w:val="single" w:sz="6" w:space="0" w:color="auto"/>
              <w:right w:val="single" w:sz="12" w:space="0" w:color="auto"/>
            </w:tcBorders>
            <w:vAlign w:val="center"/>
          </w:tcPr>
          <w:p w:rsidR="00FF72AC" w:rsidRPr="0048284D" w:rsidRDefault="00FF72AC" w:rsidP="00FF72AC">
            <w:pPr>
              <w:ind w:left="82"/>
            </w:pPr>
            <w:r w:rsidRPr="0048284D">
              <w:t>Gas Combustion Turbine with HRSG and Duct Burner (Unit 3B)</w:t>
            </w:r>
          </w:p>
        </w:tc>
      </w:tr>
      <w:tr w:rsidR="00FF72AC" w:rsidRPr="0048284D" w:rsidTr="00615D68">
        <w:tc>
          <w:tcPr>
            <w:tcW w:w="1035" w:type="dxa"/>
            <w:tcBorders>
              <w:top w:val="single" w:sz="6" w:space="0" w:color="auto"/>
              <w:left w:val="single" w:sz="12" w:space="0" w:color="auto"/>
              <w:bottom w:val="single" w:sz="6" w:space="0" w:color="auto"/>
              <w:right w:val="single" w:sz="6" w:space="0" w:color="auto"/>
            </w:tcBorders>
            <w:vAlign w:val="center"/>
          </w:tcPr>
          <w:p w:rsidR="00FF72AC" w:rsidRPr="0048284D" w:rsidRDefault="00FF72AC" w:rsidP="00FF72AC">
            <w:pPr>
              <w:jc w:val="center"/>
              <w:rPr>
                <w:b/>
              </w:rPr>
            </w:pPr>
            <w:r w:rsidRPr="0048284D">
              <w:rPr>
                <w:b/>
              </w:rPr>
              <w:t>009</w:t>
            </w:r>
          </w:p>
        </w:tc>
        <w:tc>
          <w:tcPr>
            <w:tcW w:w="8825" w:type="dxa"/>
            <w:tcBorders>
              <w:top w:val="single" w:sz="6" w:space="0" w:color="auto"/>
              <w:left w:val="single" w:sz="6" w:space="0" w:color="auto"/>
              <w:bottom w:val="single" w:sz="6" w:space="0" w:color="auto"/>
              <w:right w:val="single" w:sz="12" w:space="0" w:color="auto"/>
            </w:tcBorders>
            <w:vAlign w:val="center"/>
          </w:tcPr>
          <w:p w:rsidR="00FF72AC" w:rsidRPr="0048284D" w:rsidRDefault="00FF72AC" w:rsidP="00FF72AC">
            <w:pPr>
              <w:ind w:left="82"/>
            </w:pPr>
            <w:r w:rsidRPr="0048284D">
              <w:t>General Purpose Internal Combustion Engines (Emergency and Non-Emergency)</w:t>
            </w:r>
          </w:p>
        </w:tc>
      </w:tr>
      <w:tr w:rsidR="00FF72AC" w:rsidRPr="0048284D" w:rsidTr="00615D68">
        <w:tc>
          <w:tcPr>
            <w:tcW w:w="1035" w:type="dxa"/>
            <w:tcBorders>
              <w:top w:val="single" w:sz="6" w:space="0" w:color="auto"/>
              <w:left w:val="single" w:sz="12" w:space="0" w:color="auto"/>
              <w:bottom w:val="single" w:sz="6" w:space="0" w:color="auto"/>
              <w:right w:val="single" w:sz="6" w:space="0" w:color="auto"/>
            </w:tcBorders>
            <w:vAlign w:val="center"/>
          </w:tcPr>
          <w:p w:rsidR="00FF72AC" w:rsidRPr="0048284D" w:rsidRDefault="00FF72AC" w:rsidP="00FF72AC">
            <w:pPr>
              <w:jc w:val="center"/>
              <w:rPr>
                <w:b/>
              </w:rPr>
            </w:pPr>
            <w:r w:rsidRPr="0048284D">
              <w:rPr>
                <w:b/>
              </w:rPr>
              <w:t>012</w:t>
            </w:r>
          </w:p>
        </w:tc>
        <w:tc>
          <w:tcPr>
            <w:tcW w:w="8825" w:type="dxa"/>
            <w:tcBorders>
              <w:top w:val="single" w:sz="6" w:space="0" w:color="auto"/>
              <w:left w:val="single" w:sz="6" w:space="0" w:color="auto"/>
              <w:bottom w:val="single" w:sz="6" w:space="0" w:color="auto"/>
              <w:right w:val="single" w:sz="12" w:space="0" w:color="auto"/>
            </w:tcBorders>
            <w:vAlign w:val="center"/>
          </w:tcPr>
          <w:p w:rsidR="00FF72AC" w:rsidRPr="0048284D" w:rsidRDefault="00FF72AC" w:rsidP="00FF72AC">
            <w:pPr>
              <w:ind w:left="82"/>
            </w:pPr>
            <w:r w:rsidRPr="0048284D">
              <w:rPr>
                <w:bCs/>
              </w:rPr>
              <w:t xml:space="preserve">550 HP Emergency </w:t>
            </w:r>
            <w:r w:rsidRPr="0048284D">
              <w:t>Diesel</w:t>
            </w:r>
            <w:r w:rsidRPr="0048284D">
              <w:rPr>
                <w:bCs/>
              </w:rPr>
              <w:t xml:space="preserve"> Generator at CCCT</w:t>
            </w:r>
          </w:p>
        </w:tc>
      </w:tr>
      <w:tr w:rsidR="00FF72AC" w:rsidRPr="0048284D" w:rsidTr="00FF72AC">
        <w:trPr>
          <w:trHeight w:val="284"/>
        </w:trPr>
        <w:tc>
          <w:tcPr>
            <w:tcW w:w="1035" w:type="dxa"/>
            <w:tcBorders>
              <w:top w:val="single" w:sz="6" w:space="0" w:color="auto"/>
              <w:left w:val="single" w:sz="12" w:space="0" w:color="auto"/>
              <w:bottom w:val="single" w:sz="12" w:space="0" w:color="auto"/>
              <w:right w:val="single" w:sz="6" w:space="0" w:color="auto"/>
            </w:tcBorders>
            <w:vAlign w:val="center"/>
          </w:tcPr>
          <w:p w:rsidR="00FF72AC" w:rsidRPr="0048284D" w:rsidRDefault="00FF72AC" w:rsidP="00FF72AC">
            <w:pPr>
              <w:jc w:val="center"/>
              <w:rPr>
                <w:b/>
              </w:rPr>
            </w:pPr>
            <w:r w:rsidRPr="0048284D">
              <w:rPr>
                <w:b/>
              </w:rPr>
              <w:t>013</w:t>
            </w:r>
          </w:p>
        </w:tc>
        <w:tc>
          <w:tcPr>
            <w:tcW w:w="8825" w:type="dxa"/>
            <w:tcBorders>
              <w:top w:val="single" w:sz="6" w:space="0" w:color="auto"/>
              <w:left w:val="single" w:sz="6" w:space="0" w:color="auto"/>
              <w:bottom w:val="single" w:sz="12" w:space="0" w:color="auto"/>
              <w:right w:val="single" w:sz="12" w:space="0" w:color="auto"/>
            </w:tcBorders>
            <w:vAlign w:val="center"/>
          </w:tcPr>
          <w:p w:rsidR="00FF72AC" w:rsidRPr="0048284D" w:rsidRDefault="00FF72AC" w:rsidP="00FF72AC">
            <w:pPr>
              <w:ind w:left="82"/>
            </w:pPr>
            <w:r w:rsidRPr="0048284D">
              <w:rPr>
                <w:bCs/>
              </w:rPr>
              <w:t xml:space="preserve">153 HP Emergency </w:t>
            </w:r>
            <w:r w:rsidRPr="0048284D">
              <w:t>Diesel</w:t>
            </w:r>
            <w:r w:rsidRPr="0048284D">
              <w:rPr>
                <w:bCs/>
              </w:rPr>
              <w:t xml:space="preserve"> Sump Pump (Big Blue)</w:t>
            </w:r>
          </w:p>
        </w:tc>
      </w:tr>
    </w:tbl>
    <w:p w:rsidR="00193F10" w:rsidRPr="00F06C57" w:rsidRDefault="001C4E37" w:rsidP="00F06C57">
      <w:pPr>
        <w:pStyle w:val="ListParagraph"/>
        <w:numPr>
          <w:ilvl w:val="1"/>
          <w:numId w:val="6"/>
        </w:numPr>
        <w:spacing w:before="120" w:after="120"/>
        <w:ind w:left="720" w:hanging="720"/>
        <w:contextualSpacing w:val="0"/>
        <w:rPr>
          <w:b/>
          <w:bCs/>
          <w:sz w:val="22"/>
          <w:szCs w:val="22"/>
        </w:rPr>
      </w:pPr>
      <w:r w:rsidRPr="00F06C57">
        <w:rPr>
          <w:b/>
          <w:bCs/>
          <w:sz w:val="22"/>
          <w:szCs w:val="22"/>
        </w:rPr>
        <w:t xml:space="preserve">Facility </w:t>
      </w:r>
      <w:r w:rsidR="00193F10" w:rsidRPr="00F06C57">
        <w:rPr>
          <w:b/>
          <w:bCs/>
          <w:sz w:val="22"/>
          <w:szCs w:val="22"/>
        </w:rPr>
        <w:t>Regulatory Categories</w:t>
      </w:r>
    </w:p>
    <w:p w:rsidR="003D1956" w:rsidRDefault="003D1956" w:rsidP="003D1956">
      <w:pPr>
        <w:numPr>
          <w:ilvl w:val="0"/>
          <w:numId w:val="12"/>
        </w:numPr>
        <w:spacing w:after="120"/>
        <w:rPr>
          <w:sz w:val="22"/>
          <w:szCs w:val="22"/>
        </w:rPr>
      </w:pPr>
      <w:r>
        <w:rPr>
          <w:sz w:val="22"/>
          <w:szCs w:val="22"/>
        </w:rPr>
        <w:t>The facility is a major source of hazardous air pollutants (HAP).</w:t>
      </w:r>
    </w:p>
    <w:p w:rsidR="003D1956" w:rsidRDefault="003D1956" w:rsidP="003D1956">
      <w:pPr>
        <w:pStyle w:val="BodyText"/>
        <w:numPr>
          <w:ilvl w:val="0"/>
          <w:numId w:val="12"/>
        </w:numPr>
        <w:rPr>
          <w:sz w:val="22"/>
          <w:szCs w:val="22"/>
        </w:rPr>
      </w:pPr>
      <w:r>
        <w:rPr>
          <w:sz w:val="22"/>
          <w:szCs w:val="22"/>
        </w:rPr>
        <w:t>The facility operates units subject to the acid rain provisions of the Clean Air Act.</w:t>
      </w:r>
    </w:p>
    <w:p w:rsidR="003D1956" w:rsidRDefault="003D1956" w:rsidP="003D1956">
      <w:pPr>
        <w:numPr>
          <w:ilvl w:val="0"/>
          <w:numId w:val="12"/>
        </w:numPr>
        <w:spacing w:after="120"/>
        <w:rPr>
          <w:sz w:val="22"/>
          <w:szCs w:val="22"/>
        </w:rPr>
      </w:pPr>
      <w:r>
        <w:rPr>
          <w:sz w:val="22"/>
          <w:szCs w:val="22"/>
        </w:rPr>
        <w:t>The facility is a Title V major source of air pollution in accordance with Chapter 62-213, F.A.C.</w:t>
      </w:r>
    </w:p>
    <w:p w:rsidR="003D1956" w:rsidRDefault="003D1956" w:rsidP="0048284D">
      <w:pPr>
        <w:numPr>
          <w:ilvl w:val="0"/>
          <w:numId w:val="12"/>
        </w:numPr>
        <w:spacing w:after="120"/>
        <w:rPr>
          <w:sz w:val="22"/>
          <w:szCs w:val="22"/>
        </w:rPr>
      </w:pPr>
      <w:r>
        <w:rPr>
          <w:sz w:val="22"/>
          <w:szCs w:val="22"/>
        </w:rPr>
        <w:t>The facility is a major stationary source in accordance with Rule 62-212.400, F.A.C. for the Prevention of Significant Deterioration (PSD) of Air Quality.</w:t>
      </w:r>
    </w:p>
    <w:p w:rsidR="00F06C57" w:rsidRPr="00176C42" w:rsidRDefault="00F06C57" w:rsidP="00F06C57">
      <w:pPr>
        <w:numPr>
          <w:ilvl w:val="0"/>
          <w:numId w:val="3"/>
        </w:numPr>
        <w:spacing w:after="60"/>
        <w:rPr>
          <w:sz w:val="22"/>
          <w:szCs w:val="22"/>
        </w:rPr>
      </w:pPr>
      <w:r w:rsidRPr="00176C42">
        <w:rPr>
          <w:sz w:val="22"/>
          <w:szCs w:val="22"/>
        </w:rPr>
        <w:t>The facility operate</w:t>
      </w:r>
      <w:r>
        <w:rPr>
          <w:sz w:val="22"/>
          <w:szCs w:val="22"/>
        </w:rPr>
        <w:t>s</w:t>
      </w:r>
      <w:r w:rsidRPr="00176C42">
        <w:rPr>
          <w:sz w:val="22"/>
          <w:szCs w:val="22"/>
        </w:rPr>
        <w:t xml:space="preserve"> units subject to the </w:t>
      </w:r>
      <w:r>
        <w:rPr>
          <w:sz w:val="22"/>
          <w:szCs w:val="22"/>
        </w:rPr>
        <w:t>New Source Performance Standards (</w:t>
      </w:r>
      <w:r w:rsidRPr="00176C42">
        <w:rPr>
          <w:sz w:val="22"/>
          <w:szCs w:val="22"/>
        </w:rPr>
        <w:t>NSPS</w:t>
      </w:r>
      <w:r>
        <w:rPr>
          <w:sz w:val="22"/>
          <w:szCs w:val="22"/>
        </w:rPr>
        <w:t>) of Title 40 Part 60 of the Code of Federal Regulations (</w:t>
      </w:r>
      <w:r w:rsidRPr="00176C42">
        <w:rPr>
          <w:sz w:val="22"/>
          <w:szCs w:val="22"/>
        </w:rPr>
        <w:t>40 CFR 60</w:t>
      </w:r>
      <w:r>
        <w:rPr>
          <w:sz w:val="22"/>
          <w:szCs w:val="22"/>
        </w:rPr>
        <w:t>)</w:t>
      </w:r>
      <w:r w:rsidRPr="00176C42">
        <w:rPr>
          <w:sz w:val="22"/>
          <w:szCs w:val="22"/>
        </w:rPr>
        <w:t>.</w:t>
      </w:r>
      <w:r>
        <w:rPr>
          <w:sz w:val="22"/>
          <w:szCs w:val="22"/>
        </w:rPr>
        <w:t xml:space="preserve">  </w:t>
      </w:r>
    </w:p>
    <w:p w:rsidR="0048284D" w:rsidRDefault="00F06C57" w:rsidP="00F06C57">
      <w:pPr>
        <w:numPr>
          <w:ilvl w:val="0"/>
          <w:numId w:val="3"/>
        </w:numPr>
        <w:spacing w:after="120"/>
        <w:rPr>
          <w:sz w:val="22"/>
          <w:szCs w:val="22"/>
        </w:rPr>
      </w:pPr>
      <w:r w:rsidRPr="003B6274">
        <w:rPr>
          <w:sz w:val="22"/>
          <w:szCs w:val="22"/>
        </w:rPr>
        <w:t>The facility operate</w:t>
      </w:r>
      <w:r>
        <w:rPr>
          <w:sz w:val="22"/>
          <w:szCs w:val="22"/>
        </w:rPr>
        <w:t>s</w:t>
      </w:r>
      <w:r w:rsidRPr="003B6274">
        <w:rPr>
          <w:sz w:val="22"/>
          <w:szCs w:val="22"/>
        </w:rPr>
        <w:t xml:space="preserve"> units subject to the National Emissions Standards of Hazardous Air Pollutants</w:t>
      </w:r>
      <w:r>
        <w:rPr>
          <w:sz w:val="22"/>
          <w:szCs w:val="22"/>
        </w:rPr>
        <w:t xml:space="preserve"> (</w:t>
      </w:r>
      <w:r w:rsidRPr="00176C42">
        <w:rPr>
          <w:sz w:val="22"/>
          <w:szCs w:val="22"/>
        </w:rPr>
        <w:t>NESHAP</w:t>
      </w:r>
      <w:r>
        <w:rPr>
          <w:sz w:val="22"/>
          <w:szCs w:val="22"/>
        </w:rPr>
        <w:t>)</w:t>
      </w:r>
      <w:r w:rsidRPr="00176C42">
        <w:rPr>
          <w:sz w:val="22"/>
          <w:szCs w:val="22"/>
        </w:rPr>
        <w:t xml:space="preserve"> of 40 CFR 63.</w:t>
      </w:r>
    </w:p>
    <w:p w:rsidR="0019139F" w:rsidRPr="0019139F" w:rsidRDefault="0048284D" w:rsidP="0048284D">
      <w:pPr>
        <w:rPr>
          <w:sz w:val="22"/>
          <w:szCs w:val="22"/>
        </w:rPr>
      </w:pPr>
      <w:r>
        <w:rPr>
          <w:sz w:val="22"/>
          <w:szCs w:val="22"/>
        </w:rPr>
        <w:br w:type="page"/>
      </w:r>
    </w:p>
    <w:p w:rsidR="00193F10" w:rsidRPr="00F06C57" w:rsidRDefault="00193F10" w:rsidP="00F06C57">
      <w:pPr>
        <w:pStyle w:val="ListParagraph"/>
        <w:numPr>
          <w:ilvl w:val="1"/>
          <w:numId w:val="6"/>
        </w:numPr>
        <w:spacing w:after="120"/>
        <w:ind w:left="720" w:hanging="720"/>
        <w:contextualSpacing w:val="0"/>
        <w:rPr>
          <w:b/>
          <w:bCs/>
          <w:sz w:val="22"/>
          <w:szCs w:val="22"/>
        </w:rPr>
      </w:pPr>
      <w:r w:rsidRPr="00F06C57">
        <w:rPr>
          <w:b/>
          <w:bCs/>
          <w:sz w:val="22"/>
          <w:szCs w:val="22"/>
        </w:rPr>
        <w:lastRenderedPageBreak/>
        <w:t>Project Description</w:t>
      </w:r>
    </w:p>
    <w:p w:rsidR="00FF72AC" w:rsidRDefault="00FF72AC" w:rsidP="00FF72AC">
      <w:pPr>
        <w:pStyle w:val="BodyText2"/>
        <w:numPr>
          <w:ilvl w:val="0"/>
          <w:numId w:val="0"/>
        </w:numPr>
        <w:jc w:val="left"/>
      </w:pPr>
      <w:r>
        <w:t>The applicant</w:t>
      </w:r>
      <w:r w:rsidRPr="00572D25">
        <w:t xml:space="preserve"> submitted an appli</w:t>
      </w:r>
      <w:r>
        <w:t>cation</w:t>
      </w:r>
      <w:r w:rsidRPr="00572D25">
        <w:t xml:space="preserve"> to the Department on </w:t>
      </w:r>
      <w:r w:rsidR="00126634">
        <w:t>October 6</w:t>
      </w:r>
      <w:r>
        <w:t>, 2021, (</w:t>
      </w:r>
      <w:hyperlink r:id="rId12" w:history="1">
        <w:r w:rsidRPr="00060185">
          <w:rPr>
            <w:rStyle w:val="Hyperlink"/>
          </w:rPr>
          <w:t>Link to application</w:t>
        </w:r>
      </w:hyperlink>
      <w:r w:rsidRPr="006E5401">
        <w:rPr>
          <w:rStyle w:val="Hyperlink"/>
          <w:color w:val="auto"/>
          <w:u w:val="none"/>
        </w:rPr>
        <w:t xml:space="preserve">, click </w:t>
      </w:r>
      <w:r>
        <w:rPr>
          <w:rStyle w:val="Hyperlink"/>
          <w:color w:val="auto"/>
          <w:u w:val="none"/>
        </w:rPr>
        <w:t>“</w:t>
      </w:r>
      <w:r w:rsidRPr="006E5401">
        <w:rPr>
          <w:rStyle w:val="Hyperlink"/>
          <w:color w:val="auto"/>
          <w:u w:val="none"/>
        </w:rPr>
        <w:t>Public Oculus Login” button</w:t>
      </w:r>
      <w:r>
        <w:t>) requesting authorization to implement winter upgrades and AGP Tech 2.0 upgrades to Unit 3.</w:t>
      </w:r>
    </w:p>
    <w:p w:rsidR="00FF72AC" w:rsidRDefault="00FF72AC" w:rsidP="00FF72AC">
      <w:pPr>
        <w:pStyle w:val="BodyText2"/>
        <w:widowControl w:val="0"/>
        <w:numPr>
          <w:ilvl w:val="0"/>
          <w:numId w:val="0"/>
        </w:numPr>
        <w:jc w:val="left"/>
        <w:rPr>
          <w:szCs w:val="22"/>
        </w:rPr>
      </w:pPr>
      <w:r w:rsidRPr="00AC1630">
        <w:fldChar w:fldCharType="begin"/>
      </w:r>
      <w:r w:rsidRPr="00AC1630">
        <w:instrText xml:space="preserve"> REF _Ref31197508 \h  \* MERGEFORMAT </w:instrText>
      </w:r>
      <w:r w:rsidRPr="00AC1630">
        <w:fldChar w:fldCharType="separate"/>
      </w:r>
      <w:r w:rsidRPr="00AC1630">
        <w:rPr>
          <w:b/>
          <w:szCs w:val="22"/>
        </w:rPr>
        <w:t xml:space="preserve">Table </w:t>
      </w:r>
      <w:r w:rsidRPr="00AC1630">
        <w:rPr>
          <w:b/>
          <w:noProof/>
          <w:szCs w:val="22"/>
        </w:rPr>
        <w:t>2</w:t>
      </w:r>
      <w:r w:rsidRPr="00AC1630">
        <w:fldChar w:fldCharType="end"/>
      </w:r>
      <w:r>
        <w:t xml:space="preserve"> list the</w:t>
      </w:r>
      <w:r>
        <w:rPr>
          <w:szCs w:val="22"/>
        </w:rPr>
        <w:t xml:space="preserve"> EUs will be affected by this project.</w:t>
      </w:r>
    </w:p>
    <w:p w:rsidR="00FF72AC" w:rsidRPr="00AC1630" w:rsidRDefault="00FF72AC" w:rsidP="00FF72AC">
      <w:pPr>
        <w:pStyle w:val="Caption"/>
        <w:spacing w:after="120"/>
        <w:jc w:val="center"/>
        <w:rPr>
          <w:rFonts w:ascii="Times New Roman Bold" w:hAnsi="Times New Roman Bold"/>
          <w:b/>
          <w:i w:val="0"/>
          <w:caps/>
          <w:color w:val="auto"/>
          <w:sz w:val="22"/>
          <w:szCs w:val="22"/>
        </w:rPr>
      </w:pPr>
      <w:bookmarkStart w:id="6" w:name="_Ref31197508"/>
      <w:r w:rsidRPr="00AC1630">
        <w:rPr>
          <w:rFonts w:ascii="Times New Roman Bold" w:hAnsi="Times New Roman Bold"/>
          <w:b/>
          <w:i w:val="0"/>
          <w:caps/>
          <w:color w:val="auto"/>
          <w:sz w:val="22"/>
          <w:szCs w:val="22"/>
        </w:rPr>
        <w:t xml:space="preserve">Table </w:t>
      </w:r>
      <w:r w:rsidRPr="00AC1630">
        <w:rPr>
          <w:rFonts w:ascii="Times New Roman Bold" w:hAnsi="Times New Roman Bold"/>
          <w:b/>
          <w:i w:val="0"/>
          <w:caps/>
          <w:color w:val="auto"/>
          <w:sz w:val="22"/>
          <w:szCs w:val="22"/>
        </w:rPr>
        <w:fldChar w:fldCharType="begin"/>
      </w:r>
      <w:r w:rsidRPr="00AC1630">
        <w:rPr>
          <w:rFonts w:ascii="Times New Roman Bold" w:hAnsi="Times New Roman Bold"/>
          <w:b/>
          <w:i w:val="0"/>
          <w:caps/>
          <w:color w:val="auto"/>
          <w:sz w:val="22"/>
          <w:szCs w:val="22"/>
        </w:rPr>
        <w:instrText xml:space="preserve"> SEQ Table \* ARABIC </w:instrText>
      </w:r>
      <w:r w:rsidRPr="00AC1630">
        <w:rPr>
          <w:rFonts w:ascii="Times New Roman Bold" w:hAnsi="Times New Roman Bold"/>
          <w:b/>
          <w:i w:val="0"/>
          <w:caps/>
          <w:color w:val="auto"/>
          <w:sz w:val="22"/>
          <w:szCs w:val="22"/>
        </w:rPr>
        <w:fldChar w:fldCharType="separate"/>
      </w:r>
      <w:r w:rsidRPr="00AC1630">
        <w:rPr>
          <w:rFonts w:ascii="Times New Roman Bold" w:hAnsi="Times New Roman Bold"/>
          <w:b/>
          <w:i w:val="0"/>
          <w:caps/>
          <w:noProof/>
          <w:color w:val="auto"/>
          <w:sz w:val="22"/>
          <w:szCs w:val="22"/>
        </w:rPr>
        <w:t>2</w:t>
      </w:r>
      <w:r w:rsidRPr="00AC1630">
        <w:rPr>
          <w:rFonts w:ascii="Times New Roman Bold" w:hAnsi="Times New Roman Bold"/>
          <w:b/>
          <w:i w:val="0"/>
          <w:caps/>
          <w:color w:val="auto"/>
          <w:sz w:val="22"/>
          <w:szCs w:val="22"/>
        </w:rPr>
        <w:fldChar w:fldCharType="end"/>
      </w:r>
      <w:bookmarkEnd w:id="6"/>
      <w:r>
        <w:rPr>
          <w:rFonts w:ascii="Times New Roman Bold" w:hAnsi="Times New Roman Bold"/>
          <w:b/>
          <w:i w:val="0"/>
          <w:caps/>
          <w:color w:val="auto"/>
          <w:sz w:val="22"/>
          <w:szCs w:val="22"/>
        </w:rPr>
        <w:t>.  Eu</w:t>
      </w:r>
      <w:r>
        <w:rPr>
          <w:rFonts w:ascii="Times New Roman Bold" w:hAnsi="Times New Roman Bold"/>
          <w:b/>
          <w:i w:val="0"/>
          <w:color w:val="auto"/>
          <w:sz w:val="22"/>
          <w:szCs w:val="22"/>
        </w:rPr>
        <w:t>s</w:t>
      </w:r>
      <w:r>
        <w:rPr>
          <w:rFonts w:ascii="Times New Roman Bold" w:hAnsi="Times New Roman Bold"/>
          <w:b/>
          <w:i w:val="0"/>
          <w:caps/>
          <w:color w:val="auto"/>
          <w:sz w:val="22"/>
          <w:szCs w:val="22"/>
        </w:rPr>
        <w:t xml:space="preserve"> affected by the project.</w:t>
      </w:r>
    </w:p>
    <w:tbl>
      <w:tblPr>
        <w:tblW w:w="0" w:type="auto"/>
        <w:tblInd w:w="1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35"/>
        <w:gridCol w:w="8825"/>
      </w:tblGrid>
      <w:tr w:rsidR="00FF72AC" w:rsidRPr="0048284D" w:rsidTr="00A67A8D">
        <w:trPr>
          <w:tblHeader/>
        </w:trPr>
        <w:tc>
          <w:tcPr>
            <w:tcW w:w="1035" w:type="dxa"/>
            <w:tcBorders>
              <w:bottom w:val="single" w:sz="12" w:space="0" w:color="auto"/>
              <w:right w:val="single" w:sz="4" w:space="0" w:color="auto"/>
            </w:tcBorders>
            <w:shd w:val="clear" w:color="auto" w:fill="B8CCE4" w:themeFill="accent1" w:themeFillTint="66"/>
          </w:tcPr>
          <w:p w:rsidR="00FF72AC" w:rsidRPr="0048284D" w:rsidRDefault="00FF72AC" w:rsidP="00A67A8D">
            <w:pPr>
              <w:pStyle w:val="BodyText2"/>
              <w:widowControl w:val="0"/>
              <w:numPr>
                <w:ilvl w:val="0"/>
                <w:numId w:val="0"/>
              </w:numPr>
              <w:spacing w:after="0"/>
              <w:jc w:val="center"/>
              <w:rPr>
                <w:b/>
                <w:sz w:val="20"/>
              </w:rPr>
            </w:pPr>
            <w:r w:rsidRPr="0048284D">
              <w:rPr>
                <w:b/>
                <w:sz w:val="20"/>
              </w:rPr>
              <w:t>EU No.</w:t>
            </w:r>
          </w:p>
        </w:tc>
        <w:tc>
          <w:tcPr>
            <w:tcW w:w="8825" w:type="dxa"/>
            <w:tcBorders>
              <w:left w:val="single" w:sz="4" w:space="0" w:color="auto"/>
              <w:bottom w:val="single" w:sz="12" w:space="0" w:color="auto"/>
            </w:tcBorders>
            <w:shd w:val="clear" w:color="auto" w:fill="B8CCE4" w:themeFill="accent1" w:themeFillTint="66"/>
          </w:tcPr>
          <w:p w:rsidR="00FF72AC" w:rsidRPr="0048284D" w:rsidRDefault="00FF72AC" w:rsidP="00A67A8D">
            <w:pPr>
              <w:pStyle w:val="BodyText2"/>
              <w:widowControl w:val="0"/>
              <w:numPr>
                <w:ilvl w:val="0"/>
                <w:numId w:val="0"/>
              </w:numPr>
              <w:spacing w:after="0"/>
              <w:jc w:val="left"/>
              <w:rPr>
                <w:b/>
                <w:sz w:val="20"/>
              </w:rPr>
            </w:pPr>
            <w:r w:rsidRPr="0048284D">
              <w:rPr>
                <w:b/>
                <w:sz w:val="20"/>
              </w:rPr>
              <w:t>Description</w:t>
            </w:r>
          </w:p>
        </w:tc>
      </w:tr>
      <w:tr w:rsidR="0048284D" w:rsidRPr="0048284D" w:rsidTr="0048284D">
        <w:tc>
          <w:tcPr>
            <w:tcW w:w="1035" w:type="dxa"/>
            <w:tcBorders>
              <w:bottom w:val="single" w:sz="4" w:space="0" w:color="auto"/>
              <w:right w:val="single" w:sz="4" w:space="0" w:color="auto"/>
            </w:tcBorders>
            <w:vAlign w:val="center"/>
          </w:tcPr>
          <w:p w:rsidR="0048284D" w:rsidRPr="0048284D" w:rsidRDefault="0048284D" w:rsidP="0048284D">
            <w:pPr>
              <w:jc w:val="center"/>
              <w:rPr>
                <w:b/>
              </w:rPr>
            </w:pPr>
            <w:r w:rsidRPr="0048284D">
              <w:rPr>
                <w:b/>
              </w:rPr>
              <w:t>004</w:t>
            </w:r>
          </w:p>
        </w:tc>
        <w:tc>
          <w:tcPr>
            <w:tcW w:w="8825" w:type="dxa"/>
            <w:tcBorders>
              <w:left w:val="single" w:sz="4" w:space="0" w:color="auto"/>
              <w:bottom w:val="single" w:sz="4" w:space="0" w:color="auto"/>
            </w:tcBorders>
            <w:vAlign w:val="center"/>
          </w:tcPr>
          <w:p w:rsidR="0048284D" w:rsidRPr="0048284D" w:rsidRDefault="0048284D" w:rsidP="0048284D">
            <w:pPr>
              <w:ind w:left="82"/>
            </w:pPr>
            <w:r w:rsidRPr="0048284D">
              <w:t>Gas Combustion Turbine with HRSG and Duct Burner (Unit 3A)</w:t>
            </w:r>
          </w:p>
        </w:tc>
      </w:tr>
      <w:tr w:rsidR="0048284D" w:rsidRPr="0048284D" w:rsidTr="0048284D">
        <w:tc>
          <w:tcPr>
            <w:tcW w:w="1035" w:type="dxa"/>
            <w:tcBorders>
              <w:top w:val="single" w:sz="4" w:space="0" w:color="auto"/>
              <w:bottom w:val="single" w:sz="12" w:space="0" w:color="auto"/>
              <w:right w:val="single" w:sz="4" w:space="0" w:color="auto"/>
            </w:tcBorders>
            <w:vAlign w:val="center"/>
          </w:tcPr>
          <w:p w:rsidR="0048284D" w:rsidRPr="0048284D" w:rsidRDefault="0048284D" w:rsidP="0048284D">
            <w:pPr>
              <w:jc w:val="center"/>
              <w:rPr>
                <w:b/>
              </w:rPr>
            </w:pPr>
            <w:r w:rsidRPr="0048284D">
              <w:rPr>
                <w:b/>
              </w:rPr>
              <w:t>005</w:t>
            </w:r>
          </w:p>
        </w:tc>
        <w:tc>
          <w:tcPr>
            <w:tcW w:w="8825" w:type="dxa"/>
            <w:tcBorders>
              <w:top w:val="single" w:sz="4" w:space="0" w:color="auto"/>
              <w:left w:val="single" w:sz="4" w:space="0" w:color="auto"/>
              <w:bottom w:val="single" w:sz="12" w:space="0" w:color="auto"/>
            </w:tcBorders>
            <w:vAlign w:val="center"/>
          </w:tcPr>
          <w:p w:rsidR="0048284D" w:rsidRPr="0048284D" w:rsidRDefault="0048284D" w:rsidP="0048284D">
            <w:pPr>
              <w:ind w:left="82"/>
            </w:pPr>
            <w:r w:rsidRPr="0048284D">
              <w:t>Gas Combustion Turbine with HRSG and Duct Burner (Unit 3B)</w:t>
            </w:r>
          </w:p>
        </w:tc>
      </w:tr>
    </w:tbl>
    <w:p w:rsidR="001C4E37" w:rsidRPr="00F06C57" w:rsidRDefault="001C4E37" w:rsidP="00F06C57">
      <w:pPr>
        <w:pStyle w:val="ListParagraph"/>
        <w:numPr>
          <w:ilvl w:val="1"/>
          <w:numId w:val="6"/>
        </w:numPr>
        <w:spacing w:before="120" w:after="120"/>
        <w:ind w:left="720" w:hanging="720"/>
        <w:contextualSpacing w:val="0"/>
        <w:rPr>
          <w:b/>
          <w:bCs/>
          <w:sz w:val="22"/>
          <w:szCs w:val="22"/>
        </w:rPr>
      </w:pPr>
      <w:r w:rsidRPr="00F06C57">
        <w:rPr>
          <w:b/>
          <w:bCs/>
          <w:sz w:val="22"/>
          <w:szCs w:val="22"/>
        </w:rPr>
        <w:t>Processing Schedule</w:t>
      </w:r>
    </w:p>
    <w:p w:rsidR="00126634" w:rsidRPr="00730F9C" w:rsidRDefault="00126634" w:rsidP="00126634">
      <w:pPr>
        <w:pStyle w:val="BodyText"/>
        <w:widowControl w:val="0"/>
        <w:numPr>
          <w:ilvl w:val="12"/>
          <w:numId w:val="8"/>
        </w:numPr>
        <w:tabs>
          <w:tab w:val="left" w:pos="1440"/>
        </w:tabs>
        <w:rPr>
          <w:sz w:val="22"/>
          <w:szCs w:val="22"/>
        </w:rPr>
      </w:pPr>
      <w:r>
        <w:rPr>
          <w:sz w:val="22"/>
          <w:szCs w:val="22"/>
        </w:rPr>
        <w:t>10/06/2021</w:t>
      </w:r>
      <w:r w:rsidRPr="00730F9C">
        <w:rPr>
          <w:sz w:val="22"/>
          <w:szCs w:val="22"/>
        </w:rPr>
        <w:tab/>
        <w:t>Department received the application for a</w:t>
      </w:r>
      <w:r>
        <w:rPr>
          <w:sz w:val="22"/>
          <w:szCs w:val="22"/>
        </w:rPr>
        <w:t>n</w:t>
      </w:r>
      <w:r w:rsidRPr="00730F9C">
        <w:rPr>
          <w:sz w:val="22"/>
          <w:szCs w:val="22"/>
        </w:rPr>
        <w:t xml:space="preserve"> air pollution construction permit</w:t>
      </w:r>
      <w:r>
        <w:rPr>
          <w:sz w:val="22"/>
          <w:szCs w:val="22"/>
        </w:rPr>
        <w:t xml:space="preserve">; </w:t>
      </w:r>
      <w:r w:rsidRPr="00A66EB5">
        <w:rPr>
          <w:sz w:val="22"/>
          <w:szCs w:val="22"/>
        </w:rPr>
        <w:t>application complete</w:t>
      </w:r>
      <w:r w:rsidRPr="00730F9C">
        <w:rPr>
          <w:sz w:val="22"/>
          <w:szCs w:val="22"/>
        </w:rPr>
        <w:t>.</w:t>
      </w:r>
    </w:p>
    <w:p w:rsidR="00126634" w:rsidRPr="00730F9C" w:rsidRDefault="00126634" w:rsidP="00126634">
      <w:pPr>
        <w:pStyle w:val="BodyText"/>
        <w:widowControl w:val="0"/>
        <w:numPr>
          <w:ilvl w:val="12"/>
          <w:numId w:val="8"/>
        </w:numPr>
        <w:tabs>
          <w:tab w:val="left" w:pos="1440"/>
        </w:tabs>
        <w:rPr>
          <w:sz w:val="22"/>
          <w:szCs w:val="22"/>
        </w:rPr>
      </w:pPr>
      <w:r w:rsidRPr="00362C15">
        <w:rPr>
          <w:sz w:val="22"/>
          <w:szCs w:val="22"/>
        </w:rPr>
        <w:t>1</w:t>
      </w:r>
      <w:r w:rsidR="00466A07" w:rsidRPr="00362C15">
        <w:rPr>
          <w:sz w:val="22"/>
          <w:szCs w:val="22"/>
        </w:rPr>
        <w:t>1</w:t>
      </w:r>
      <w:r w:rsidRPr="00362C15">
        <w:rPr>
          <w:sz w:val="22"/>
          <w:szCs w:val="22"/>
        </w:rPr>
        <w:t>/</w:t>
      </w:r>
      <w:r w:rsidR="00362C15" w:rsidRPr="00362C15">
        <w:rPr>
          <w:sz w:val="22"/>
          <w:szCs w:val="22"/>
        </w:rPr>
        <w:t>01</w:t>
      </w:r>
      <w:r w:rsidRPr="00362C15">
        <w:rPr>
          <w:sz w:val="22"/>
          <w:szCs w:val="22"/>
        </w:rPr>
        <w:t>/2021</w:t>
      </w:r>
      <w:bookmarkStart w:id="7" w:name="_GoBack"/>
      <w:bookmarkEnd w:id="7"/>
      <w:r w:rsidRPr="00730F9C">
        <w:rPr>
          <w:sz w:val="22"/>
          <w:szCs w:val="22"/>
        </w:rPr>
        <w:tab/>
        <w:t>Dr</w:t>
      </w:r>
      <w:r>
        <w:rPr>
          <w:sz w:val="22"/>
          <w:szCs w:val="22"/>
        </w:rPr>
        <w:t>af</w:t>
      </w:r>
      <w:r w:rsidRPr="00730F9C">
        <w:rPr>
          <w:sz w:val="22"/>
          <w:szCs w:val="22"/>
        </w:rPr>
        <w:t>t</w:t>
      </w:r>
      <w:r>
        <w:rPr>
          <w:sz w:val="22"/>
          <w:szCs w:val="22"/>
        </w:rPr>
        <w:t xml:space="preserve"> permit issued</w:t>
      </w:r>
      <w:r w:rsidRPr="00730F9C">
        <w:rPr>
          <w:sz w:val="22"/>
          <w:szCs w:val="22"/>
        </w:rPr>
        <w:t>.</w:t>
      </w:r>
    </w:p>
    <w:p w:rsidR="00193F10" w:rsidRPr="00F06C57" w:rsidRDefault="00D51D78" w:rsidP="00F06C57">
      <w:pPr>
        <w:pStyle w:val="ListParagraph"/>
        <w:numPr>
          <w:ilvl w:val="0"/>
          <w:numId w:val="6"/>
        </w:numPr>
        <w:spacing w:after="120"/>
        <w:ind w:left="720" w:hanging="720"/>
        <w:contextualSpacing w:val="0"/>
        <w:rPr>
          <w:b/>
          <w:caps/>
          <w:sz w:val="22"/>
          <w:szCs w:val="22"/>
        </w:rPr>
      </w:pPr>
      <w:r>
        <w:rPr>
          <w:b/>
          <w:caps/>
          <w:sz w:val="22"/>
        </w:rPr>
        <w:t>PSD Applicability</w:t>
      </w:r>
    </w:p>
    <w:p w:rsidR="00D51D78" w:rsidRPr="00F06C57" w:rsidRDefault="00D51D78" w:rsidP="00F06C57">
      <w:pPr>
        <w:pStyle w:val="ListParagraph"/>
        <w:numPr>
          <w:ilvl w:val="1"/>
          <w:numId w:val="6"/>
        </w:numPr>
        <w:spacing w:after="120"/>
        <w:ind w:left="720" w:hanging="720"/>
        <w:contextualSpacing w:val="0"/>
        <w:rPr>
          <w:b/>
          <w:caps/>
          <w:sz w:val="22"/>
          <w:szCs w:val="22"/>
        </w:rPr>
      </w:pPr>
      <w:r w:rsidRPr="00193F10">
        <w:rPr>
          <w:b/>
          <w:sz w:val="22"/>
        </w:rPr>
        <w:t xml:space="preserve">General </w:t>
      </w:r>
      <w:r>
        <w:rPr>
          <w:b/>
          <w:sz w:val="22"/>
        </w:rPr>
        <w:t xml:space="preserve">PSD </w:t>
      </w:r>
      <w:r w:rsidRPr="00193F10">
        <w:rPr>
          <w:b/>
          <w:sz w:val="22"/>
        </w:rPr>
        <w:t>Applicability</w:t>
      </w:r>
    </w:p>
    <w:p w:rsidR="00A33555" w:rsidRPr="00AF2B7C" w:rsidRDefault="00A33555" w:rsidP="00A33555">
      <w:pPr>
        <w:pStyle w:val="BodyText"/>
        <w:widowControl w:val="0"/>
        <w:rPr>
          <w:sz w:val="22"/>
        </w:rPr>
      </w:pPr>
      <w:r w:rsidRPr="00AF2B7C">
        <w:rPr>
          <w:sz w:val="22"/>
        </w:rPr>
        <w:t xml:space="preserve">For areas currently in attainment with the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A PSD applicability review is required for projects at new and existing major stationary sources.  In addition, proposed projects at existing minor sources are subject to a PSD applicability review to determine whether potential emissions </w:t>
      </w:r>
      <w:r w:rsidRPr="00AF2B7C">
        <w:rPr>
          <w:i/>
          <w:sz w:val="22"/>
        </w:rPr>
        <w:t>from the proposed project itself</w:t>
      </w:r>
      <w:r w:rsidRPr="00AF2B7C">
        <w:rPr>
          <w:sz w:val="22"/>
        </w:rPr>
        <w:t xml:space="preserve"> will exceed the PSD major stationary source thresholds.  A facility is considered a major stationary source with respect to PSD if it emits or has the potential to emit:</w:t>
      </w:r>
    </w:p>
    <w:p w:rsidR="00A33555" w:rsidRPr="00AF2B7C" w:rsidRDefault="00A33555" w:rsidP="00A33555">
      <w:pPr>
        <w:pStyle w:val="BodyText"/>
        <w:widowControl w:val="0"/>
        <w:numPr>
          <w:ilvl w:val="0"/>
          <w:numId w:val="5"/>
        </w:numPr>
        <w:rPr>
          <w:sz w:val="22"/>
        </w:rPr>
      </w:pPr>
      <w:r w:rsidRPr="00AF2B7C">
        <w:rPr>
          <w:sz w:val="22"/>
        </w:rPr>
        <w:t>250 tons per year or more of any regulated air pollutant; or</w:t>
      </w:r>
    </w:p>
    <w:p w:rsidR="00A33555" w:rsidRPr="00AF2B7C" w:rsidRDefault="00A33555" w:rsidP="00A33555">
      <w:pPr>
        <w:pStyle w:val="BodyText"/>
        <w:widowControl w:val="0"/>
        <w:numPr>
          <w:ilvl w:val="0"/>
          <w:numId w:val="5"/>
        </w:numPr>
        <w:rPr>
          <w:sz w:val="22"/>
        </w:rPr>
      </w:pPr>
      <w:r w:rsidRPr="00AF2B7C">
        <w:rPr>
          <w:sz w:val="22"/>
        </w:rPr>
        <w:t xml:space="preserve">100 tons per year or more of any regulated air pollutant and the facility belongs to one of the following 28 PSD-major facility categories:  </w:t>
      </w:r>
      <w:r w:rsidRPr="00AF2B7C">
        <w:rPr>
          <w:sz w:val="22"/>
          <w:szCs w:val="22"/>
        </w:rPr>
        <w:t>fossil fuel-fired steam electric plants of more than 250 million British thermal units per hour heat input, coal cleaning plants (with thermal dryers), Kraft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A33555" w:rsidRPr="00AF2B7C" w:rsidRDefault="00A33555" w:rsidP="00A33555">
      <w:pPr>
        <w:pStyle w:val="BodyText"/>
        <w:rPr>
          <w:sz w:val="22"/>
          <w:szCs w:val="22"/>
        </w:rPr>
      </w:pPr>
      <w:r w:rsidRPr="00AF2B7C">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AF2B7C">
        <w:rPr>
          <w:sz w:val="22"/>
          <w:szCs w:val="22"/>
          <w:vertAlign w:val="subscript"/>
        </w:rPr>
        <w:t>X</w:t>
      </w:r>
      <w:r w:rsidRPr="00AF2B7C">
        <w:rPr>
          <w:sz w:val="22"/>
          <w:szCs w:val="22"/>
        </w:rPr>
        <w:t>); sulfur dioxide (SO</w:t>
      </w:r>
      <w:r w:rsidRPr="00AF2B7C">
        <w:rPr>
          <w:sz w:val="22"/>
          <w:szCs w:val="22"/>
          <w:vertAlign w:val="subscript"/>
        </w:rPr>
        <w:t>2</w:t>
      </w:r>
      <w:r w:rsidRPr="00AF2B7C">
        <w:rPr>
          <w:sz w:val="22"/>
          <w:szCs w:val="22"/>
        </w:rPr>
        <w:t>); particulate matter (PM); particulate matter with a mean particle diameter of 10 microns or less (PM</w:t>
      </w:r>
      <w:r w:rsidRPr="00AF2B7C">
        <w:rPr>
          <w:sz w:val="22"/>
          <w:szCs w:val="22"/>
          <w:vertAlign w:val="subscript"/>
        </w:rPr>
        <w:t>10</w:t>
      </w:r>
      <w:r w:rsidRPr="00AF2B7C">
        <w:rPr>
          <w:sz w:val="22"/>
          <w:szCs w:val="22"/>
        </w:rPr>
        <w:t>); PM</w:t>
      </w:r>
      <w:r w:rsidRPr="00AF2B7C">
        <w:rPr>
          <w:sz w:val="22"/>
          <w:szCs w:val="22"/>
          <w:vertAlign w:val="subscript"/>
        </w:rPr>
        <w:t>2.5</w:t>
      </w:r>
      <w:r w:rsidRPr="00AF2B7C">
        <w:rPr>
          <w:sz w:val="22"/>
          <w:szCs w:val="22"/>
        </w:rPr>
        <w:t>; volatile organic compounds (VOC); lead (Pb); fluorides (F); sulfuric acid mist (SAM); hydrogen sulfide (H</w:t>
      </w:r>
      <w:r w:rsidRPr="00AF2B7C">
        <w:rPr>
          <w:sz w:val="22"/>
          <w:szCs w:val="22"/>
          <w:vertAlign w:val="subscript"/>
        </w:rPr>
        <w:t>2</w:t>
      </w:r>
      <w:r w:rsidRPr="00AF2B7C">
        <w:rPr>
          <w:sz w:val="22"/>
          <w:szCs w:val="22"/>
        </w:rPr>
        <w:t>S); total reduced sulfur (TRS), including H</w:t>
      </w:r>
      <w:r w:rsidRPr="00AF2B7C">
        <w:rPr>
          <w:sz w:val="22"/>
          <w:szCs w:val="22"/>
          <w:vertAlign w:val="subscript"/>
        </w:rPr>
        <w:t>2</w:t>
      </w:r>
      <w:r w:rsidRPr="00AF2B7C">
        <w:rPr>
          <w:sz w:val="22"/>
          <w:szCs w:val="22"/>
        </w:rPr>
        <w:t>S; reduced sulfur compounds, including H</w:t>
      </w:r>
      <w:r w:rsidRPr="00AF2B7C">
        <w:rPr>
          <w:sz w:val="22"/>
          <w:szCs w:val="22"/>
          <w:vertAlign w:val="subscript"/>
        </w:rPr>
        <w:t>2</w:t>
      </w:r>
      <w:r w:rsidRPr="00AF2B7C">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AF2B7C">
        <w:rPr>
          <w:sz w:val="22"/>
          <w:szCs w:val="22"/>
          <w:vertAlign w:val="subscript"/>
        </w:rPr>
        <w:t>2</w:t>
      </w:r>
      <w:r w:rsidRPr="00AF2B7C">
        <w:rPr>
          <w:sz w:val="22"/>
          <w:szCs w:val="22"/>
        </w:rPr>
        <w:t xml:space="preserve"> and hydrogen chloride (HCl); municipal solid </w:t>
      </w:r>
      <w:r w:rsidRPr="00AF2B7C">
        <w:rPr>
          <w:sz w:val="22"/>
          <w:szCs w:val="22"/>
        </w:rPr>
        <w:lastRenderedPageBreak/>
        <w:t>waste landfills emissions measured as non-methane organic compounds (NMOC); and mercury (Hg).  In addition, significant emissions rate also means any emissions rate or any net emissions increase associated with a major stationary source or major modification which would construct within 10 kilometers of a Class I area and have an impact on such area equal to or greater than 1 micro grams per cubic meter (μg/m</w:t>
      </w:r>
      <w:r w:rsidRPr="00AF2B7C">
        <w:rPr>
          <w:sz w:val="22"/>
          <w:szCs w:val="22"/>
          <w:vertAlign w:val="superscript"/>
        </w:rPr>
        <w:t>3</w:t>
      </w:r>
      <w:r w:rsidRPr="00AF2B7C">
        <w:rPr>
          <w:sz w:val="22"/>
          <w:szCs w:val="22"/>
        </w:rPr>
        <w:t>), 24-hour average.</w:t>
      </w:r>
    </w:p>
    <w:p w:rsidR="00A33555" w:rsidRDefault="00A33555" w:rsidP="00A33555">
      <w:pPr>
        <w:pStyle w:val="BodyText"/>
        <w:rPr>
          <w:sz w:val="22"/>
          <w:szCs w:val="22"/>
        </w:rPr>
      </w:pPr>
      <w:r>
        <w:rPr>
          <w:sz w:val="22"/>
          <w:szCs w:val="22"/>
        </w:rPr>
        <w:t xml:space="preserve">The </w:t>
      </w:r>
      <w:r w:rsidRPr="00A33555">
        <w:rPr>
          <w:sz w:val="22"/>
          <w:szCs w:val="22"/>
        </w:rPr>
        <w:t xml:space="preserve">Smith Electric Generating Plant </w:t>
      </w:r>
      <w:r>
        <w:rPr>
          <w:sz w:val="22"/>
          <w:szCs w:val="22"/>
        </w:rPr>
        <w:t xml:space="preserve">is a </w:t>
      </w:r>
      <w:r w:rsidRPr="00DF1E65">
        <w:rPr>
          <w:sz w:val="22"/>
          <w:szCs w:val="22"/>
        </w:rPr>
        <w:t>fossil fuel-fired steam electric plant of more than 250 million British thermal units per hour heat input</w:t>
      </w:r>
      <w:r>
        <w:rPr>
          <w:sz w:val="22"/>
          <w:szCs w:val="22"/>
        </w:rPr>
        <w:t xml:space="preserve">, belonging to the list of 28 PSD-major facility categories, emitting more than 100 TPY of a PSD regulated pollutant.  Consequently, the facility is subject to the significant emissions rates (SER) listed in </w:t>
      </w:r>
      <w:r w:rsidRPr="00BD367E">
        <w:rPr>
          <w:sz w:val="22"/>
          <w:szCs w:val="22"/>
        </w:rPr>
        <w:fldChar w:fldCharType="begin"/>
      </w:r>
      <w:r w:rsidRPr="00BD367E">
        <w:rPr>
          <w:sz w:val="22"/>
          <w:szCs w:val="22"/>
        </w:rPr>
        <w:instrText xml:space="preserve"> REF _Ref19107819 \h  \* MERGEFORMAT </w:instrText>
      </w:r>
      <w:r w:rsidRPr="00BD367E">
        <w:rPr>
          <w:sz w:val="22"/>
          <w:szCs w:val="22"/>
        </w:rPr>
      </w:r>
      <w:r w:rsidRPr="00BD367E">
        <w:rPr>
          <w:sz w:val="22"/>
          <w:szCs w:val="22"/>
        </w:rPr>
        <w:fldChar w:fldCharType="separate"/>
      </w:r>
      <w:r w:rsidRPr="00E8620D">
        <w:rPr>
          <w:b/>
          <w:sz w:val="22"/>
          <w:szCs w:val="22"/>
        </w:rPr>
        <w:t>T</w:t>
      </w:r>
      <w:r>
        <w:rPr>
          <w:b/>
          <w:sz w:val="22"/>
          <w:szCs w:val="22"/>
        </w:rPr>
        <w:t>able</w:t>
      </w:r>
      <w:r w:rsidRPr="00E8620D">
        <w:rPr>
          <w:b/>
          <w:sz w:val="22"/>
          <w:szCs w:val="22"/>
        </w:rPr>
        <w:t xml:space="preserve"> </w:t>
      </w:r>
      <w:r w:rsidRPr="00AF2B7C">
        <w:rPr>
          <w:b/>
          <w:noProof/>
          <w:sz w:val="22"/>
          <w:szCs w:val="22"/>
        </w:rPr>
        <w:t>3</w:t>
      </w:r>
      <w:r w:rsidRPr="00BD367E">
        <w:rPr>
          <w:sz w:val="22"/>
          <w:szCs w:val="22"/>
        </w:rPr>
        <w:fldChar w:fldCharType="end"/>
      </w:r>
      <w:r>
        <w:rPr>
          <w:sz w:val="22"/>
          <w:szCs w:val="22"/>
        </w:rPr>
        <w:t>.</w:t>
      </w:r>
    </w:p>
    <w:p w:rsidR="00A33555" w:rsidRPr="00E8620D" w:rsidRDefault="00A33555" w:rsidP="00A33555">
      <w:pPr>
        <w:pStyle w:val="Caption"/>
        <w:spacing w:after="60"/>
        <w:jc w:val="center"/>
        <w:rPr>
          <w:b/>
          <w:i w:val="0"/>
          <w:color w:val="auto"/>
          <w:sz w:val="22"/>
          <w:szCs w:val="22"/>
        </w:rPr>
      </w:pPr>
      <w:bookmarkStart w:id="8" w:name="_Ref19107819"/>
      <w:r w:rsidRPr="00E8620D">
        <w:rPr>
          <w:b/>
          <w:i w:val="0"/>
          <w:color w:val="auto"/>
          <w:sz w:val="22"/>
          <w:szCs w:val="22"/>
        </w:rPr>
        <w:t xml:space="preserve">TABLE </w:t>
      </w:r>
      <w:r w:rsidRPr="00E8620D">
        <w:rPr>
          <w:b/>
          <w:i w:val="0"/>
          <w:color w:val="auto"/>
          <w:sz w:val="22"/>
          <w:szCs w:val="22"/>
        </w:rPr>
        <w:fldChar w:fldCharType="begin"/>
      </w:r>
      <w:r w:rsidRPr="00E8620D">
        <w:rPr>
          <w:b/>
          <w:i w:val="0"/>
          <w:color w:val="auto"/>
          <w:sz w:val="22"/>
          <w:szCs w:val="22"/>
        </w:rPr>
        <w:instrText xml:space="preserve"> SEQ Table \* ARABIC </w:instrText>
      </w:r>
      <w:r w:rsidRPr="00E8620D">
        <w:rPr>
          <w:b/>
          <w:i w:val="0"/>
          <w:color w:val="auto"/>
          <w:sz w:val="22"/>
          <w:szCs w:val="22"/>
        </w:rPr>
        <w:fldChar w:fldCharType="separate"/>
      </w:r>
      <w:r>
        <w:rPr>
          <w:b/>
          <w:i w:val="0"/>
          <w:noProof/>
          <w:color w:val="auto"/>
          <w:sz w:val="22"/>
          <w:szCs w:val="22"/>
        </w:rPr>
        <w:t>3</w:t>
      </w:r>
      <w:r w:rsidRPr="00E8620D">
        <w:rPr>
          <w:b/>
          <w:i w:val="0"/>
          <w:color w:val="auto"/>
          <w:sz w:val="22"/>
          <w:szCs w:val="22"/>
        </w:rPr>
        <w:fldChar w:fldCharType="end"/>
      </w:r>
      <w:bookmarkEnd w:id="8"/>
      <w:r w:rsidRPr="00E8620D">
        <w:rPr>
          <w:b/>
          <w:i w:val="0"/>
          <w:color w:val="auto"/>
          <w:sz w:val="22"/>
          <w:szCs w:val="22"/>
        </w:rPr>
        <w:t>.  LIST OF SER BY PSD POLLUTANT</w:t>
      </w:r>
    </w:p>
    <w:tbl>
      <w:tblPr>
        <w:tblW w:w="8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60"/>
        <w:gridCol w:w="2018"/>
        <w:gridCol w:w="2070"/>
        <w:gridCol w:w="2377"/>
      </w:tblGrid>
      <w:tr w:rsidR="00A33555" w:rsidRPr="007D5C87" w:rsidTr="00A67A8D">
        <w:trPr>
          <w:trHeight w:val="384"/>
          <w:tblHeader/>
          <w:jc w:val="center"/>
        </w:trPr>
        <w:tc>
          <w:tcPr>
            <w:tcW w:w="2160"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b/>
                <w:color w:val="000000"/>
              </w:rPr>
            </w:pPr>
            <w:r w:rsidRPr="007D5C87">
              <w:rPr>
                <w:b/>
                <w:color w:val="000000"/>
              </w:rPr>
              <w:t xml:space="preserve">Pollutant </w:t>
            </w:r>
            <w:r w:rsidRPr="007D5C87">
              <w:rPr>
                <w:b/>
                <w:color w:val="000000"/>
                <w:vertAlign w:val="superscript"/>
              </w:rPr>
              <w:t>a</w:t>
            </w:r>
          </w:p>
        </w:tc>
        <w:tc>
          <w:tcPr>
            <w:tcW w:w="2018"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b/>
                <w:color w:val="000000"/>
              </w:rPr>
            </w:pPr>
            <w:r w:rsidRPr="007D5C87">
              <w:rPr>
                <w:b/>
                <w:color w:val="000000"/>
              </w:rPr>
              <w:t>SER (TPY)</w:t>
            </w:r>
          </w:p>
        </w:tc>
        <w:tc>
          <w:tcPr>
            <w:tcW w:w="2070"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b/>
                <w:color w:val="000000"/>
              </w:rPr>
            </w:pPr>
            <w:r w:rsidRPr="007D5C87">
              <w:rPr>
                <w:b/>
                <w:color w:val="000000"/>
              </w:rPr>
              <w:t>Pollutant</w:t>
            </w:r>
          </w:p>
        </w:tc>
        <w:tc>
          <w:tcPr>
            <w:tcW w:w="2377" w:type="dxa"/>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b/>
                <w:color w:val="000000"/>
              </w:rPr>
            </w:pPr>
            <w:r w:rsidRPr="007D5C87">
              <w:rPr>
                <w:b/>
                <w:color w:val="000000"/>
              </w:rPr>
              <w:t>SER (TPY)</w:t>
            </w:r>
          </w:p>
        </w:tc>
      </w:tr>
      <w:tr w:rsidR="00A33555" w:rsidRPr="007D5C87" w:rsidTr="00A67A8D">
        <w:trPr>
          <w:trHeight w:val="264"/>
          <w:jc w:val="center"/>
        </w:trPr>
        <w:tc>
          <w:tcPr>
            <w:tcW w:w="2160" w:type="dxa"/>
            <w:tcBorders>
              <w:top w:val="single" w:sz="12" w:space="0" w:color="auto"/>
              <w:left w:val="single" w:sz="12" w:space="0" w:color="auto"/>
              <w:bottom w:val="single" w:sz="6" w:space="0" w:color="000000"/>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rPr>
                <w:color w:val="000000"/>
              </w:rPr>
              <w:t>CO</w:t>
            </w:r>
          </w:p>
        </w:tc>
        <w:tc>
          <w:tcPr>
            <w:tcW w:w="2018" w:type="dxa"/>
            <w:tcBorders>
              <w:top w:val="single" w:sz="12" w:space="0" w:color="auto"/>
              <w:left w:val="single" w:sz="12" w:space="0" w:color="auto"/>
              <w:bottom w:val="single" w:sz="6" w:space="0" w:color="000000"/>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rPr>
                <w:color w:val="000000"/>
              </w:rPr>
              <w:t>100</w:t>
            </w:r>
          </w:p>
        </w:tc>
        <w:tc>
          <w:tcPr>
            <w:tcW w:w="2070" w:type="dxa"/>
            <w:tcBorders>
              <w:top w:val="single" w:sz="12" w:space="0" w:color="auto"/>
              <w:left w:val="single" w:sz="12" w:space="0" w:color="auto"/>
              <w:bottom w:val="single" w:sz="6" w:space="0" w:color="000000"/>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rPr>
                <w:color w:val="000000"/>
              </w:rPr>
              <w:t>NO</w:t>
            </w:r>
            <w:r w:rsidRPr="007D5C87">
              <w:rPr>
                <w:color w:val="000000"/>
                <w:vertAlign w:val="subscript"/>
              </w:rPr>
              <w:t>X</w:t>
            </w:r>
          </w:p>
        </w:tc>
        <w:tc>
          <w:tcPr>
            <w:tcW w:w="2377" w:type="dxa"/>
            <w:tcBorders>
              <w:top w:val="single" w:sz="12" w:space="0" w:color="auto"/>
              <w:left w:val="single" w:sz="12" w:space="0" w:color="auto"/>
              <w:bottom w:val="single" w:sz="6" w:space="0" w:color="000000"/>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rPr>
                <w:color w:val="000000"/>
              </w:rPr>
              <w:t>40</w:t>
            </w:r>
          </w:p>
        </w:tc>
      </w:tr>
      <w:tr w:rsidR="00A33555" w:rsidRPr="007D5C87" w:rsidTr="00A67A8D">
        <w:trPr>
          <w:trHeight w:val="264"/>
          <w:jc w:val="center"/>
        </w:trPr>
        <w:tc>
          <w:tcPr>
            <w:tcW w:w="2160" w:type="dxa"/>
            <w:tcBorders>
              <w:top w:val="single" w:sz="6" w:space="0" w:color="000000"/>
              <w:left w:val="single" w:sz="12" w:space="0" w:color="auto"/>
              <w:bottom w:val="single" w:sz="6" w:space="0" w:color="000000"/>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t>PM/</w:t>
            </w:r>
            <w:r w:rsidRPr="007D5C87">
              <w:rPr>
                <w:color w:val="000000"/>
              </w:rPr>
              <w:t>PM</w:t>
            </w:r>
            <w:r w:rsidRPr="007D5C87">
              <w:rPr>
                <w:vertAlign w:val="subscript"/>
              </w:rPr>
              <w:t>10</w:t>
            </w:r>
            <w:r w:rsidRPr="007D5C87">
              <w:rPr>
                <w:color w:val="000000"/>
              </w:rPr>
              <w:t>/PM</w:t>
            </w:r>
            <w:r w:rsidRPr="007D5C87">
              <w:rPr>
                <w:color w:val="000000"/>
                <w:vertAlign w:val="subscript"/>
              </w:rPr>
              <w:t>2.5</w:t>
            </w:r>
          </w:p>
        </w:tc>
        <w:tc>
          <w:tcPr>
            <w:tcW w:w="2018" w:type="dxa"/>
            <w:tcBorders>
              <w:top w:val="single" w:sz="6" w:space="0" w:color="000000"/>
              <w:left w:val="single" w:sz="12" w:space="0" w:color="auto"/>
              <w:bottom w:val="single" w:sz="6" w:space="0" w:color="000000"/>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t>25</w:t>
            </w:r>
            <w:r w:rsidRPr="007D5C87">
              <w:rPr>
                <w:color w:val="000000"/>
              </w:rPr>
              <w:t>/15/10</w:t>
            </w:r>
          </w:p>
        </w:tc>
        <w:tc>
          <w:tcPr>
            <w:tcW w:w="2070" w:type="dxa"/>
            <w:tcBorders>
              <w:top w:val="single" w:sz="6" w:space="0" w:color="000000"/>
              <w:left w:val="single" w:sz="12" w:space="0" w:color="auto"/>
              <w:bottom w:val="single" w:sz="6" w:space="0" w:color="000000"/>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rPr>
                <w:color w:val="000000"/>
              </w:rPr>
              <w:t xml:space="preserve">Ozone (VOC) </w:t>
            </w:r>
            <w:r w:rsidRPr="007D5C87">
              <w:rPr>
                <w:color w:val="000000"/>
                <w:vertAlign w:val="superscript"/>
              </w:rPr>
              <w:t>b</w:t>
            </w:r>
          </w:p>
        </w:tc>
        <w:tc>
          <w:tcPr>
            <w:tcW w:w="2377" w:type="dxa"/>
            <w:tcBorders>
              <w:top w:val="single" w:sz="6" w:space="0" w:color="000000"/>
              <w:left w:val="single" w:sz="12" w:space="0" w:color="auto"/>
              <w:bottom w:val="single" w:sz="6" w:space="0" w:color="000000"/>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rPr>
                <w:color w:val="000000"/>
              </w:rPr>
              <w:t>40</w:t>
            </w:r>
          </w:p>
        </w:tc>
      </w:tr>
      <w:tr w:rsidR="00A33555" w:rsidRPr="007D5C87" w:rsidTr="00A67A8D">
        <w:trPr>
          <w:trHeight w:val="264"/>
          <w:jc w:val="center"/>
        </w:trPr>
        <w:tc>
          <w:tcPr>
            <w:tcW w:w="2160" w:type="dxa"/>
            <w:tcBorders>
              <w:top w:val="single" w:sz="6" w:space="0" w:color="000000"/>
              <w:left w:val="single" w:sz="12" w:space="0" w:color="auto"/>
              <w:bottom w:val="single" w:sz="6" w:space="0" w:color="000000"/>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rPr>
                <w:color w:val="000000"/>
              </w:rPr>
              <w:t>PM</w:t>
            </w:r>
            <w:r w:rsidRPr="007D5C87">
              <w:rPr>
                <w:color w:val="000000"/>
                <w:vertAlign w:val="subscript"/>
              </w:rPr>
              <w:t>2.5</w:t>
            </w:r>
            <w:r w:rsidRPr="007D5C87">
              <w:rPr>
                <w:color w:val="000000"/>
              </w:rPr>
              <w:t xml:space="preserve"> (NO</w:t>
            </w:r>
            <w:r w:rsidRPr="007D5C87">
              <w:rPr>
                <w:vertAlign w:val="subscript"/>
              </w:rPr>
              <w:t>X</w:t>
            </w:r>
            <w:r w:rsidRPr="007D5C87">
              <w:rPr>
                <w:color w:val="000000"/>
              </w:rPr>
              <w:t>)</w:t>
            </w:r>
          </w:p>
        </w:tc>
        <w:tc>
          <w:tcPr>
            <w:tcW w:w="2018" w:type="dxa"/>
            <w:tcBorders>
              <w:top w:val="single" w:sz="6" w:space="0" w:color="000000"/>
              <w:left w:val="single" w:sz="12" w:space="0" w:color="auto"/>
              <w:bottom w:val="single" w:sz="6" w:space="0" w:color="000000"/>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rPr>
                <w:color w:val="000000"/>
              </w:rPr>
              <w:t>40</w:t>
            </w:r>
          </w:p>
        </w:tc>
        <w:tc>
          <w:tcPr>
            <w:tcW w:w="2070" w:type="dxa"/>
            <w:tcBorders>
              <w:top w:val="single" w:sz="6" w:space="0" w:color="000000"/>
              <w:left w:val="single" w:sz="12" w:space="0" w:color="auto"/>
              <w:bottom w:val="single" w:sz="6" w:space="0" w:color="000000"/>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rPr>
                <w:color w:val="000000"/>
              </w:rPr>
              <w:t>PM</w:t>
            </w:r>
            <w:r w:rsidRPr="007D5C87">
              <w:rPr>
                <w:color w:val="000000"/>
                <w:vertAlign w:val="subscript"/>
              </w:rPr>
              <w:t>2.5</w:t>
            </w:r>
            <w:r w:rsidRPr="007D5C87">
              <w:rPr>
                <w:color w:val="000000"/>
              </w:rPr>
              <w:t xml:space="preserve"> (SO</w:t>
            </w:r>
            <w:r w:rsidRPr="007D5C87">
              <w:rPr>
                <w:vertAlign w:val="subscript"/>
              </w:rPr>
              <w:t>2</w:t>
            </w:r>
            <w:r w:rsidRPr="007D5C87">
              <w:rPr>
                <w:color w:val="000000"/>
              </w:rPr>
              <w:t>)</w:t>
            </w:r>
            <w:r>
              <w:rPr>
                <w:color w:val="000000"/>
              </w:rPr>
              <w:t xml:space="preserve"> </w:t>
            </w:r>
            <w:r w:rsidRPr="00780E9B">
              <w:rPr>
                <w:color w:val="000000"/>
                <w:vertAlign w:val="superscript"/>
              </w:rPr>
              <w:t>b</w:t>
            </w:r>
          </w:p>
        </w:tc>
        <w:tc>
          <w:tcPr>
            <w:tcW w:w="2377" w:type="dxa"/>
            <w:tcBorders>
              <w:top w:val="single" w:sz="6" w:space="0" w:color="000000"/>
              <w:left w:val="single" w:sz="12" w:space="0" w:color="auto"/>
              <w:bottom w:val="single" w:sz="6" w:space="0" w:color="000000"/>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rPr>
                <w:color w:val="000000"/>
              </w:rPr>
              <w:t>40</w:t>
            </w:r>
          </w:p>
        </w:tc>
      </w:tr>
      <w:tr w:rsidR="00A33555" w:rsidRPr="007D5C87" w:rsidTr="00A67A8D">
        <w:trPr>
          <w:trHeight w:val="246"/>
          <w:jc w:val="center"/>
        </w:trPr>
        <w:tc>
          <w:tcPr>
            <w:tcW w:w="2160" w:type="dxa"/>
            <w:tcBorders>
              <w:top w:val="single" w:sz="6" w:space="0" w:color="000000"/>
              <w:left w:val="single" w:sz="12" w:space="0" w:color="auto"/>
              <w:bottom w:val="single" w:sz="6" w:space="0" w:color="000000"/>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rPr>
                <w:color w:val="000000"/>
              </w:rPr>
              <w:t>Ozone (NO</w:t>
            </w:r>
            <w:r w:rsidRPr="007D5C87">
              <w:rPr>
                <w:vertAlign w:val="subscript"/>
              </w:rPr>
              <w:t>X</w:t>
            </w:r>
            <w:r w:rsidRPr="007D5C87">
              <w:rPr>
                <w:color w:val="000000"/>
              </w:rPr>
              <w:t xml:space="preserve">) </w:t>
            </w:r>
            <w:r w:rsidRPr="007D5C87">
              <w:rPr>
                <w:color w:val="000000"/>
                <w:vertAlign w:val="superscript"/>
              </w:rPr>
              <w:t>b</w:t>
            </w:r>
          </w:p>
        </w:tc>
        <w:tc>
          <w:tcPr>
            <w:tcW w:w="2018" w:type="dxa"/>
            <w:tcBorders>
              <w:top w:val="single" w:sz="6" w:space="0" w:color="000000"/>
              <w:left w:val="single" w:sz="12" w:space="0" w:color="auto"/>
              <w:bottom w:val="single" w:sz="6" w:space="0" w:color="000000"/>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rPr>
                <w:color w:val="000000"/>
              </w:rPr>
              <w:t>40</w:t>
            </w:r>
          </w:p>
        </w:tc>
        <w:tc>
          <w:tcPr>
            <w:tcW w:w="2070" w:type="dxa"/>
            <w:tcBorders>
              <w:top w:val="single" w:sz="6" w:space="0" w:color="000000"/>
              <w:left w:val="single" w:sz="12" w:space="0" w:color="auto"/>
              <w:bottom w:val="single" w:sz="6" w:space="0" w:color="000000"/>
              <w:right w:val="single" w:sz="12" w:space="0" w:color="auto"/>
            </w:tcBorders>
            <w:vAlign w:val="center"/>
            <w:hideMark/>
          </w:tcPr>
          <w:p w:rsidR="00A33555" w:rsidRPr="007D5C87" w:rsidRDefault="00A33555" w:rsidP="00A67A8D">
            <w:pPr>
              <w:autoSpaceDE w:val="0"/>
              <w:autoSpaceDN w:val="0"/>
              <w:adjustRightInd w:val="0"/>
              <w:jc w:val="center"/>
            </w:pPr>
            <w:r w:rsidRPr="007D5C87">
              <w:t>SAM</w:t>
            </w:r>
          </w:p>
        </w:tc>
        <w:tc>
          <w:tcPr>
            <w:tcW w:w="2377" w:type="dxa"/>
            <w:tcBorders>
              <w:top w:val="single" w:sz="6" w:space="0" w:color="000000"/>
              <w:left w:val="single" w:sz="12" w:space="0" w:color="auto"/>
              <w:bottom w:val="single" w:sz="6" w:space="0" w:color="000000"/>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pPr>
            <w:r w:rsidRPr="007D5C87">
              <w:t>7</w:t>
            </w:r>
          </w:p>
        </w:tc>
      </w:tr>
      <w:tr w:rsidR="00A33555" w:rsidRPr="007D5C87" w:rsidTr="00A67A8D">
        <w:trPr>
          <w:trHeight w:val="255"/>
          <w:jc w:val="center"/>
        </w:trPr>
        <w:tc>
          <w:tcPr>
            <w:tcW w:w="2160" w:type="dxa"/>
            <w:tcBorders>
              <w:top w:val="single" w:sz="6" w:space="0" w:color="000000"/>
              <w:left w:val="single" w:sz="12" w:space="0" w:color="auto"/>
              <w:bottom w:val="single" w:sz="6" w:space="0" w:color="000000"/>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rPr>
                <w:color w:val="000000"/>
              </w:rPr>
              <w:t>SO</w:t>
            </w:r>
            <w:r w:rsidRPr="007D5C87">
              <w:rPr>
                <w:color w:val="000000"/>
                <w:vertAlign w:val="subscript"/>
              </w:rPr>
              <w:t>2</w:t>
            </w:r>
          </w:p>
        </w:tc>
        <w:tc>
          <w:tcPr>
            <w:tcW w:w="2018" w:type="dxa"/>
            <w:tcBorders>
              <w:top w:val="single" w:sz="6" w:space="0" w:color="000000"/>
              <w:left w:val="single" w:sz="12" w:space="0" w:color="auto"/>
              <w:bottom w:val="single" w:sz="6" w:space="0" w:color="000000"/>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rPr>
                <w:color w:val="000000"/>
              </w:rPr>
              <w:t>40</w:t>
            </w:r>
          </w:p>
        </w:tc>
        <w:tc>
          <w:tcPr>
            <w:tcW w:w="2070" w:type="dxa"/>
            <w:tcBorders>
              <w:top w:val="single" w:sz="6" w:space="0" w:color="000000"/>
              <w:left w:val="single" w:sz="12" w:space="0" w:color="auto"/>
              <w:bottom w:val="single" w:sz="6" w:space="0" w:color="000000"/>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rPr>
                <w:color w:val="000000"/>
              </w:rPr>
              <w:t>Pb</w:t>
            </w:r>
          </w:p>
        </w:tc>
        <w:tc>
          <w:tcPr>
            <w:tcW w:w="2377" w:type="dxa"/>
            <w:tcBorders>
              <w:top w:val="single" w:sz="6" w:space="0" w:color="000000"/>
              <w:left w:val="single" w:sz="12" w:space="0" w:color="auto"/>
              <w:bottom w:val="single" w:sz="6" w:space="0" w:color="000000"/>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rPr>
                <w:color w:val="000000"/>
              </w:rPr>
              <w:t>0.6</w:t>
            </w:r>
          </w:p>
        </w:tc>
      </w:tr>
      <w:tr w:rsidR="00A33555" w:rsidRPr="007D5C87" w:rsidTr="00A67A8D">
        <w:trPr>
          <w:trHeight w:val="255"/>
          <w:jc w:val="center"/>
        </w:trPr>
        <w:tc>
          <w:tcPr>
            <w:tcW w:w="2160" w:type="dxa"/>
            <w:tcBorders>
              <w:top w:val="single" w:sz="6" w:space="0" w:color="000000"/>
              <w:left w:val="single" w:sz="12" w:space="0" w:color="auto"/>
              <w:bottom w:val="single" w:sz="6" w:space="0" w:color="000000"/>
              <w:right w:val="single" w:sz="12" w:space="0" w:color="auto"/>
            </w:tcBorders>
            <w:vAlign w:val="center"/>
          </w:tcPr>
          <w:p w:rsidR="00A33555" w:rsidRPr="007D5C87" w:rsidRDefault="00A33555" w:rsidP="00A67A8D">
            <w:pPr>
              <w:autoSpaceDE w:val="0"/>
              <w:autoSpaceDN w:val="0"/>
              <w:adjustRightInd w:val="0"/>
              <w:jc w:val="center"/>
              <w:rPr>
                <w:color w:val="000000"/>
              </w:rPr>
            </w:pPr>
            <w:r w:rsidRPr="007D5C87">
              <w:rPr>
                <w:color w:val="000000"/>
              </w:rPr>
              <w:t>H</w:t>
            </w:r>
            <w:r w:rsidRPr="007D5C87">
              <w:rPr>
                <w:color w:val="000000"/>
                <w:vertAlign w:val="subscript"/>
              </w:rPr>
              <w:t>2</w:t>
            </w:r>
            <w:r w:rsidRPr="007D5C87">
              <w:rPr>
                <w:color w:val="000000"/>
              </w:rPr>
              <w:t>S</w:t>
            </w:r>
          </w:p>
        </w:tc>
        <w:tc>
          <w:tcPr>
            <w:tcW w:w="2018" w:type="dxa"/>
            <w:tcBorders>
              <w:top w:val="single" w:sz="6" w:space="0" w:color="000000"/>
              <w:left w:val="single" w:sz="12" w:space="0" w:color="auto"/>
              <w:bottom w:val="single" w:sz="6" w:space="0" w:color="000000"/>
              <w:right w:val="single" w:sz="12" w:space="0" w:color="auto"/>
            </w:tcBorders>
            <w:shd w:val="clear" w:color="auto" w:fill="B8CCE4" w:themeFill="accent1" w:themeFillTint="66"/>
            <w:vAlign w:val="center"/>
          </w:tcPr>
          <w:p w:rsidR="00A33555" w:rsidRPr="007D5C87" w:rsidRDefault="00A33555" w:rsidP="00A67A8D">
            <w:pPr>
              <w:autoSpaceDE w:val="0"/>
              <w:autoSpaceDN w:val="0"/>
              <w:adjustRightInd w:val="0"/>
              <w:jc w:val="center"/>
              <w:rPr>
                <w:color w:val="000000"/>
              </w:rPr>
            </w:pPr>
            <w:r w:rsidRPr="007D5C87">
              <w:rPr>
                <w:color w:val="000000"/>
              </w:rPr>
              <w:t>10</w:t>
            </w:r>
          </w:p>
        </w:tc>
        <w:tc>
          <w:tcPr>
            <w:tcW w:w="2070" w:type="dxa"/>
            <w:tcBorders>
              <w:top w:val="single" w:sz="6" w:space="0" w:color="000000"/>
              <w:left w:val="single" w:sz="12" w:space="0" w:color="auto"/>
              <w:bottom w:val="single" w:sz="6" w:space="0" w:color="000000"/>
              <w:right w:val="single" w:sz="12" w:space="0" w:color="auto"/>
            </w:tcBorders>
            <w:vAlign w:val="center"/>
          </w:tcPr>
          <w:p w:rsidR="00A33555" w:rsidRPr="007D5C87" w:rsidRDefault="00A33555" w:rsidP="00A67A8D">
            <w:pPr>
              <w:autoSpaceDE w:val="0"/>
              <w:autoSpaceDN w:val="0"/>
              <w:adjustRightInd w:val="0"/>
              <w:jc w:val="center"/>
              <w:rPr>
                <w:color w:val="000000"/>
              </w:rPr>
            </w:pPr>
            <w:r w:rsidRPr="007D5C87">
              <w:rPr>
                <w:color w:val="000000"/>
              </w:rPr>
              <w:t>TRS</w:t>
            </w:r>
          </w:p>
        </w:tc>
        <w:tc>
          <w:tcPr>
            <w:tcW w:w="2377" w:type="dxa"/>
            <w:tcBorders>
              <w:top w:val="single" w:sz="6" w:space="0" w:color="000000"/>
              <w:left w:val="single" w:sz="12" w:space="0" w:color="auto"/>
              <w:bottom w:val="single" w:sz="6" w:space="0" w:color="000000"/>
              <w:right w:val="single" w:sz="12" w:space="0" w:color="auto"/>
            </w:tcBorders>
            <w:shd w:val="clear" w:color="auto" w:fill="B8CCE4" w:themeFill="accent1" w:themeFillTint="66"/>
            <w:vAlign w:val="center"/>
          </w:tcPr>
          <w:p w:rsidR="00A33555" w:rsidRPr="007D5C87" w:rsidRDefault="00A33555" w:rsidP="00A67A8D">
            <w:pPr>
              <w:autoSpaceDE w:val="0"/>
              <w:autoSpaceDN w:val="0"/>
              <w:adjustRightInd w:val="0"/>
              <w:jc w:val="center"/>
              <w:rPr>
                <w:color w:val="000000"/>
              </w:rPr>
            </w:pPr>
            <w:r w:rsidRPr="007D5C87">
              <w:rPr>
                <w:color w:val="000000"/>
              </w:rPr>
              <w:t>10</w:t>
            </w:r>
          </w:p>
        </w:tc>
      </w:tr>
      <w:tr w:rsidR="00A33555" w:rsidRPr="007D5C87" w:rsidTr="00A67A8D">
        <w:trPr>
          <w:trHeight w:val="345"/>
          <w:jc w:val="center"/>
        </w:trPr>
        <w:tc>
          <w:tcPr>
            <w:tcW w:w="2160" w:type="dxa"/>
            <w:tcBorders>
              <w:top w:val="single" w:sz="6" w:space="0" w:color="000000"/>
              <w:left w:val="single" w:sz="12" w:space="0" w:color="auto"/>
              <w:bottom w:val="single" w:sz="12" w:space="0" w:color="auto"/>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rPr>
                <w:color w:val="000000"/>
              </w:rPr>
              <w:t>Hg</w:t>
            </w:r>
          </w:p>
        </w:tc>
        <w:tc>
          <w:tcPr>
            <w:tcW w:w="2018" w:type="dxa"/>
            <w:tcBorders>
              <w:top w:val="single" w:sz="6" w:space="0" w:color="000000"/>
              <w:left w:val="single" w:sz="12" w:space="0" w:color="auto"/>
              <w:bottom w:val="single" w:sz="12" w:space="0" w:color="auto"/>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rPr>
                <w:color w:val="000000"/>
              </w:rPr>
              <w:t xml:space="preserve">0.1 </w:t>
            </w:r>
          </w:p>
        </w:tc>
        <w:tc>
          <w:tcPr>
            <w:tcW w:w="2070" w:type="dxa"/>
            <w:tcBorders>
              <w:top w:val="single" w:sz="6" w:space="0" w:color="000000"/>
              <w:left w:val="single" w:sz="12" w:space="0" w:color="auto"/>
              <w:bottom w:val="single" w:sz="12" w:space="0" w:color="auto"/>
              <w:right w:val="single" w:sz="12" w:space="0" w:color="auto"/>
            </w:tcBorders>
            <w:vAlign w:val="center"/>
            <w:hideMark/>
          </w:tcPr>
          <w:p w:rsidR="00A33555" w:rsidRPr="007D5C87" w:rsidRDefault="00A33555" w:rsidP="00A67A8D">
            <w:pPr>
              <w:autoSpaceDE w:val="0"/>
              <w:autoSpaceDN w:val="0"/>
              <w:adjustRightInd w:val="0"/>
              <w:jc w:val="center"/>
              <w:rPr>
                <w:color w:val="000000"/>
              </w:rPr>
            </w:pPr>
            <w:r w:rsidRPr="007D5C87">
              <w:rPr>
                <w:color w:val="000000"/>
              </w:rPr>
              <w:t>GHG (CO</w:t>
            </w:r>
            <w:r w:rsidRPr="007D5C87">
              <w:rPr>
                <w:color w:val="000000"/>
                <w:vertAlign w:val="subscript"/>
              </w:rPr>
              <w:t>2</w:t>
            </w:r>
            <w:r w:rsidRPr="007D5C87">
              <w:rPr>
                <w:color w:val="000000"/>
              </w:rPr>
              <w:t xml:space="preserve">e) </w:t>
            </w:r>
            <w:r w:rsidRPr="007D5C87">
              <w:rPr>
                <w:color w:val="000000"/>
                <w:vertAlign w:val="superscript"/>
              </w:rPr>
              <w:t>c</w:t>
            </w:r>
          </w:p>
        </w:tc>
        <w:tc>
          <w:tcPr>
            <w:tcW w:w="2377" w:type="dxa"/>
            <w:tcBorders>
              <w:top w:val="single" w:sz="6" w:space="0" w:color="000000"/>
              <w:left w:val="single" w:sz="12" w:space="0" w:color="auto"/>
              <w:bottom w:val="single" w:sz="12" w:space="0" w:color="auto"/>
              <w:right w:val="single" w:sz="12" w:space="0" w:color="auto"/>
            </w:tcBorders>
            <w:shd w:val="clear" w:color="auto" w:fill="B8CCE4" w:themeFill="accent1" w:themeFillTint="66"/>
            <w:vAlign w:val="center"/>
            <w:hideMark/>
          </w:tcPr>
          <w:p w:rsidR="00A33555" w:rsidRPr="007D5C87" w:rsidRDefault="00A33555" w:rsidP="00A67A8D">
            <w:pPr>
              <w:autoSpaceDE w:val="0"/>
              <w:autoSpaceDN w:val="0"/>
              <w:adjustRightInd w:val="0"/>
              <w:jc w:val="center"/>
              <w:rPr>
                <w:color w:val="000000"/>
              </w:rPr>
            </w:pPr>
            <w:r w:rsidRPr="007D5C87">
              <w:rPr>
                <w:color w:val="000000"/>
              </w:rPr>
              <w:t>75,000</w:t>
            </w:r>
          </w:p>
        </w:tc>
      </w:tr>
      <w:tr w:rsidR="00A33555" w:rsidRPr="007D5C87" w:rsidTr="00A67A8D">
        <w:trPr>
          <w:trHeight w:val="1320"/>
          <w:jc w:val="center"/>
        </w:trPr>
        <w:tc>
          <w:tcPr>
            <w:tcW w:w="8625" w:type="dxa"/>
            <w:gridSpan w:val="4"/>
            <w:tcBorders>
              <w:top w:val="single" w:sz="12" w:space="0" w:color="auto"/>
              <w:left w:val="single" w:sz="12" w:space="0" w:color="auto"/>
              <w:bottom w:val="single" w:sz="12" w:space="0" w:color="auto"/>
              <w:right w:val="single" w:sz="12" w:space="0" w:color="auto"/>
            </w:tcBorders>
            <w:hideMark/>
          </w:tcPr>
          <w:p w:rsidR="00A33555" w:rsidRPr="007D5C87" w:rsidRDefault="00A33555" w:rsidP="00A33555">
            <w:pPr>
              <w:numPr>
                <w:ilvl w:val="0"/>
                <w:numId w:val="13"/>
              </w:numPr>
              <w:autoSpaceDE w:val="0"/>
              <w:autoSpaceDN w:val="0"/>
              <w:adjustRightInd w:val="0"/>
              <w:ind w:left="345" w:hanging="331"/>
              <w:rPr>
                <w:color w:val="000000"/>
                <w:sz w:val="18"/>
                <w:szCs w:val="18"/>
              </w:rPr>
            </w:pPr>
            <w:r w:rsidRPr="007D5C87">
              <w:rPr>
                <w:color w:val="000000"/>
                <w:sz w:val="18"/>
                <w:szCs w:val="18"/>
              </w:rPr>
              <w:t>Excluding fluoride and those pollutants defined for Pulp and Paper, MWC, MSW landfills.</w:t>
            </w:r>
          </w:p>
          <w:p w:rsidR="00A33555" w:rsidRPr="007D5C87" w:rsidRDefault="00A33555" w:rsidP="00A33555">
            <w:pPr>
              <w:numPr>
                <w:ilvl w:val="0"/>
                <w:numId w:val="13"/>
              </w:numPr>
              <w:autoSpaceDE w:val="0"/>
              <w:autoSpaceDN w:val="0"/>
              <w:adjustRightInd w:val="0"/>
              <w:ind w:left="345" w:hanging="331"/>
              <w:rPr>
                <w:color w:val="000000"/>
                <w:sz w:val="18"/>
                <w:szCs w:val="18"/>
              </w:rPr>
            </w:pPr>
            <w:r w:rsidRPr="007D5C87">
              <w:rPr>
                <w:color w:val="000000"/>
                <w:sz w:val="18"/>
                <w:szCs w:val="18"/>
              </w:rPr>
              <w:t>Ozone (O</w:t>
            </w:r>
            <w:r w:rsidRPr="007D5C87">
              <w:rPr>
                <w:color w:val="000000"/>
                <w:sz w:val="18"/>
                <w:szCs w:val="18"/>
                <w:vertAlign w:val="subscript"/>
              </w:rPr>
              <w:t>3</w:t>
            </w:r>
            <w:r w:rsidRPr="007D5C87">
              <w:rPr>
                <w:color w:val="000000"/>
                <w:sz w:val="18"/>
                <w:szCs w:val="18"/>
              </w:rPr>
              <w:t>) is regulated by its precursors (VOC and NO</w:t>
            </w:r>
            <w:r w:rsidRPr="007D5C87">
              <w:rPr>
                <w:color w:val="000000"/>
                <w:sz w:val="18"/>
                <w:szCs w:val="18"/>
                <w:vertAlign w:val="subscript"/>
              </w:rPr>
              <w:t>X</w:t>
            </w:r>
            <w:r w:rsidRPr="007D5C87">
              <w:rPr>
                <w:color w:val="000000"/>
                <w:sz w:val="18"/>
                <w:szCs w:val="18"/>
              </w:rPr>
              <w:t>).  PSD for PM</w:t>
            </w:r>
            <w:r w:rsidRPr="007D5C87">
              <w:rPr>
                <w:color w:val="000000"/>
                <w:sz w:val="18"/>
                <w:szCs w:val="18"/>
                <w:vertAlign w:val="subscript"/>
              </w:rPr>
              <w:t>2.5</w:t>
            </w:r>
            <w:r w:rsidRPr="007D5C87">
              <w:rPr>
                <w:color w:val="000000"/>
                <w:sz w:val="18"/>
                <w:szCs w:val="18"/>
              </w:rPr>
              <w:t xml:space="preserve"> can be triggered by its precursors (NO</w:t>
            </w:r>
            <w:r w:rsidRPr="007D5C87">
              <w:rPr>
                <w:color w:val="000000"/>
                <w:sz w:val="18"/>
                <w:szCs w:val="18"/>
                <w:vertAlign w:val="subscript"/>
              </w:rPr>
              <w:t>X</w:t>
            </w:r>
            <w:r w:rsidRPr="007D5C87">
              <w:rPr>
                <w:color w:val="000000"/>
                <w:sz w:val="18"/>
                <w:szCs w:val="18"/>
              </w:rPr>
              <w:t xml:space="preserve"> and SO</w:t>
            </w:r>
            <w:r w:rsidRPr="007D5C87">
              <w:rPr>
                <w:color w:val="000000"/>
                <w:sz w:val="18"/>
                <w:szCs w:val="18"/>
                <w:vertAlign w:val="subscript"/>
              </w:rPr>
              <w:t>2</w:t>
            </w:r>
            <w:r w:rsidRPr="007D5C87">
              <w:rPr>
                <w:color w:val="000000"/>
                <w:sz w:val="18"/>
                <w:szCs w:val="18"/>
              </w:rPr>
              <w:t>).</w:t>
            </w:r>
          </w:p>
          <w:p w:rsidR="00A33555" w:rsidRPr="007D5C87" w:rsidRDefault="00A33555" w:rsidP="00A33555">
            <w:pPr>
              <w:numPr>
                <w:ilvl w:val="0"/>
                <w:numId w:val="13"/>
              </w:numPr>
              <w:autoSpaceDE w:val="0"/>
              <w:autoSpaceDN w:val="0"/>
              <w:adjustRightInd w:val="0"/>
              <w:ind w:left="345" w:hanging="331"/>
              <w:rPr>
                <w:color w:val="000000"/>
                <w:sz w:val="18"/>
                <w:szCs w:val="18"/>
              </w:rPr>
            </w:pPr>
            <w:r w:rsidRPr="007D5C87">
              <w:rPr>
                <w:rFonts w:eastAsia="Calibri"/>
                <w:sz w:val="18"/>
                <w:szCs w:val="18"/>
              </w:rPr>
              <w:t>“CO</w:t>
            </w:r>
            <w:r w:rsidRPr="007D5C87">
              <w:rPr>
                <w:rFonts w:eastAsia="Calibri"/>
                <w:sz w:val="18"/>
                <w:szCs w:val="18"/>
                <w:vertAlign w:val="subscript"/>
              </w:rPr>
              <w:t>2</w:t>
            </w:r>
            <w:r w:rsidRPr="007D5C87">
              <w:rPr>
                <w:rFonts w:eastAsia="Calibri"/>
                <w:sz w:val="18"/>
                <w:szCs w:val="18"/>
              </w:rPr>
              <w:t>e” means carbon dioxide equivalents and refers to greenhouse gas (GHG) emissions.  The calculation of GHG emissions is defined</w:t>
            </w:r>
            <w:r w:rsidRPr="007D5C87">
              <w:rPr>
                <w:sz w:val="18"/>
                <w:szCs w:val="18"/>
              </w:rPr>
              <w:t xml:space="preserve"> in 40 CFR 98, Subpart A, Table A-1.</w:t>
            </w:r>
          </w:p>
        </w:tc>
      </w:tr>
    </w:tbl>
    <w:p w:rsidR="00A33555" w:rsidRDefault="00A33555" w:rsidP="00A33555">
      <w:pPr>
        <w:pStyle w:val="BodyText"/>
        <w:spacing w:before="120"/>
        <w:rPr>
          <w:sz w:val="22"/>
        </w:rPr>
      </w:pPr>
      <w:r w:rsidRPr="00AF2B7C">
        <w:rPr>
          <w:sz w:val="22"/>
        </w:rPr>
        <w:t>If the potential emission equals or exceeds the</w:t>
      </w:r>
      <w:r w:rsidRPr="00AF2B7C">
        <w:rPr>
          <w:sz w:val="22"/>
          <w:szCs w:val="22"/>
        </w:rPr>
        <w:t xml:space="preserve"> defined significant emissions rate</w:t>
      </w:r>
      <w:r w:rsidRPr="00AF2B7C">
        <w:rPr>
          <w:sz w:val="22"/>
        </w:rPr>
        <w:t xml:space="preserve"> of a PSD pollutant</w:t>
      </w:r>
      <w:r w:rsidRPr="00AF2B7C">
        <w:rPr>
          <w:sz w:val="22"/>
          <w:szCs w:val="22"/>
        </w:rPr>
        <w:t xml:space="preserve">, the project is </w:t>
      </w:r>
      <w:r w:rsidRPr="00AF2B7C">
        <w:rPr>
          <w:sz w:val="22"/>
        </w:rPr>
        <w:t xml:space="preserve">considered “significant” for the pollutant and the applicant must employ the Best Available Control Technology (BACT) to minimize the emissions and evaluate the air quality impacts.  Although a facility or project may be </w:t>
      </w:r>
      <w:r w:rsidRPr="00AF2B7C">
        <w:rPr>
          <w:i/>
          <w:sz w:val="22"/>
        </w:rPr>
        <w:t>major</w:t>
      </w:r>
      <w:r w:rsidRPr="00AF2B7C">
        <w:rPr>
          <w:sz w:val="22"/>
        </w:rPr>
        <w:t xml:space="preserve"> with respect to PSD for only one regulated pollutant, it may be required to install BACT controls for several “significant” regulated pollutants.</w:t>
      </w:r>
    </w:p>
    <w:p w:rsidR="00193F10" w:rsidRPr="00F06C57" w:rsidRDefault="00193F10" w:rsidP="00F06C57">
      <w:pPr>
        <w:pStyle w:val="ListParagraph"/>
        <w:numPr>
          <w:ilvl w:val="1"/>
          <w:numId w:val="6"/>
        </w:numPr>
        <w:spacing w:after="120"/>
        <w:ind w:left="720" w:hanging="720"/>
        <w:contextualSpacing w:val="0"/>
        <w:rPr>
          <w:b/>
          <w:caps/>
          <w:sz w:val="22"/>
          <w:szCs w:val="22"/>
        </w:rPr>
      </w:pPr>
      <w:r w:rsidRPr="00193F10">
        <w:rPr>
          <w:b/>
          <w:sz w:val="22"/>
        </w:rPr>
        <w:t>PSD Applicability for Project</w:t>
      </w:r>
    </w:p>
    <w:p w:rsidR="00CB2F79" w:rsidRDefault="00CB2F79" w:rsidP="00CB2F79">
      <w:pPr>
        <w:pStyle w:val="BodyText"/>
        <w:widowControl w:val="0"/>
        <w:rPr>
          <w:sz w:val="22"/>
        </w:rPr>
      </w:pPr>
      <w:r w:rsidRPr="00980517">
        <w:rPr>
          <w:sz w:val="22"/>
        </w:rPr>
        <w:t xml:space="preserve">The project is located in </w:t>
      </w:r>
      <w:r w:rsidR="00AA312E">
        <w:rPr>
          <w:sz w:val="22"/>
        </w:rPr>
        <w:t>Bay</w:t>
      </w:r>
      <w:r w:rsidRPr="00980517">
        <w:rPr>
          <w:sz w:val="22"/>
        </w:rPr>
        <w:t xml:space="preserve"> County</w:t>
      </w:r>
      <w:r>
        <w:rPr>
          <w:sz w:val="22"/>
        </w:rPr>
        <w:t>,</w:t>
      </w:r>
      <w:r w:rsidRPr="00980517">
        <w:rPr>
          <w:sz w:val="22"/>
        </w:rPr>
        <w:t xml:space="preserve"> which is in an area that is currently in attainment with the AAQS or is otherwise designated as unclassifiable.  </w:t>
      </w:r>
      <w:r>
        <w:rPr>
          <w:sz w:val="22"/>
        </w:rPr>
        <w:t xml:space="preserve">As provided in the application, the </w:t>
      </w:r>
      <w:r w:rsidR="00F06C57">
        <w:rPr>
          <w:sz w:val="22"/>
        </w:rPr>
        <w:fldChar w:fldCharType="begin"/>
      </w:r>
      <w:r w:rsidR="00F06C57">
        <w:rPr>
          <w:sz w:val="22"/>
        </w:rPr>
        <w:instrText xml:space="preserve"> REF _Ref82772528 \h </w:instrText>
      </w:r>
      <w:r w:rsidR="00F06C57">
        <w:rPr>
          <w:sz w:val="22"/>
        </w:rPr>
      </w:r>
      <w:r w:rsidR="00F06C57">
        <w:rPr>
          <w:sz w:val="22"/>
        </w:rPr>
        <w:fldChar w:fldCharType="separate"/>
      </w:r>
      <w:r w:rsidR="00F06C57" w:rsidRPr="00DF1E65">
        <w:rPr>
          <w:b/>
          <w:bCs/>
          <w:sz w:val="22"/>
          <w:szCs w:val="22"/>
        </w:rPr>
        <w:t xml:space="preserve">Table </w:t>
      </w:r>
      <w:r w:rsidR="00F06C57">
        <w:rPr>
          <w:b/>
          <w:bCs/>
          <w:noProof/>
          <w:sz w:val="22"/>
          <w:szCs w:val="22"/>
        </w:rPr>
        <w:t>4</w:t>
      </w:r>
      <w:r w:rsidR="00F06C57">
        <w:rPr>
          <w:sz w:val="22"/>
        </w:rPr>
        <w:fldChar w:fldCharType="end"/>
      </w:r>
      <w:r>
        <w:rPr>
          <w:sz w:val="22"/>
        </w:rPr>
        <w:t xml:space="preserve"> summarizes potential emissions and PSD applicability for the project.</w:t>
      </w:r>
    </w:p>
    <w:p w:rsidR="00CB2F79" w:rsidRPr="00DF1E65" w:rsidRDefault="00CB2F79" w:rsidP="00CB2F79">
      <w:pPr>
        <w:pStyle w:val="Caption"/>
        <w:jc w:val="center"/>
        <w:rPr>
          <w:b/>
          <w:bCs/>
          <w:i w:val="0"/>
          <w:iCs w:val="0"/>
          <w:caps/>
          <w:color w:val="auto"/>
          <w:sz w:val="22"/>
          <w:szCs w:val="22"/>
          <w:highlight w:val="yellow"/>
        </w:rPr>
      </w:pPr>
      <w:bookmarkStart w:id="9" w:name="_Ref82772528"/>
      <w:r w:rsidRPr="00DF1E65">
        <w:rPr>
          <w:b/>
          <w:bCs/>
          <w:i w:val="0"/>
          <w:iCs w:val="0"/>
          <w:caps/>
          <w:color w:val="auto"/>
          <w:sz w:val="22"/>
          <w:szCs w:val="22"/>
        </w:rPr>
        <w:t xml:space="preserve">Table </w:t>
      </w:r>
      <w:r w:rsidRPr="00DF1E65">
        <w:rPr>
          <w:b/>
          <w:bCs/>
          <w:i w:val="0"/>
          <w:iCs w:val="0"/>
          <w:caps/>
          <w:color w:val="auto"/>
          <w:sz w:val="22"/>
          <w:szCs w:val="22"/>
        </w:rPr>
        <w:fldChar w:fldCharType="begin"/>
      </w:r>
      <w:r w:rsidRPr="00DF1E65">
        <w:rPr>
          <w:b/>
          <w:bCs/>
          <w:i w:val="0"/>
          <w:iCs w:val="0"/>
          <w:caps/>
          <w:color w:val="auto"/>
          <w:sz w:val="22"/>
          <w:szCs w:val="22"/>
        </w:rPr>
        <w:instrText xml:space="preserve"> SEQ Table \* ARABIC </w:instrText>
      </w:r>
      <w:r w:rsidRPr="00DF1E65">
        <w:rPr>
          <w:b/>
          <w:bCs/>
          <w:i w:val="0"/>
          <w:iCs w:val="0"/>
          <w:caps/>
          <w:color w:val="auto"/>
          <w:sz w:val="22"/>
          <w:szCs w:val="22"/>
        </w:rPr>
        <w:fldChar w:fldCharType="separate"/>
      </w:r>
      <w:r>
        <w:rPr>
          <w:b/>
          <w:bCs/>
          <w:i w:val="0"/>
          <w:iCs w:val="0"/>
          <w:caps/>
          <w:noProof/>
          <w:color w:val="auto"/>
          <w:sz w:val="22"/>
          <w:szCs w:val="22"/>
        </w:rPr>
        <w:t>4</w:t>
      </w:r>
      <w:r w:rsidRPr="00DF1E65">
        <w:rPr>
          <w:b/>
          <w:bCs/>
          <w:i w:val="0"/>
          <w:iCs w:val="0"/>
          <w:caps/>
          <w:color w:val="auto"/>
          <w:sz w:val="22"/>
          <w:szCs w:val="22"/>
        </w:rPr>
        <w:fldChar w:fldCharType="end"/>
      </w:r>
      <w:bookmarkEnd w:id="9"/>
      <w:r w:rsidRPr="00DF1E65">
        <w:rPr>
          <w:b/>
          <w:bCs/>
          <w:i w:val="0"/>
          <w:iCs w:val="0"/>
          <w:caps/>
          <w:color w:val="auto"/>
          <w:sz w:val="22"/>
          <w:szCs w:val="22"/>
        </w:rPr>
        <w:t xml:space="preserve">.  </w:t>
      </w:r>
      <w:r w:rsidRPr="00F10589">
        <w:rPr>
          <w:b/>
          <w:bCs/>
          <w:i w:val="0"/>
          <w:iCs w:val="0"/>
          <w:caps/>
          <w:color w:val="auto"/>
          <w:sz w:val="22"/>
          <w:szCs w:val="22"/>
        </w:rPr>
        <w:t>SUMMARY OF THE APPLICANT’S</w:t>
      </w:r>
      <w:r w:rsidRPr="00DF1E65">
        <w:rPr>
          <w:b/>
          <w:bCs/>
          <w:i w:val="0"/>
          <w:iCs w:val="0"/>
          <w:caps/>
          <w:color w:val="auto"/>
          <w:sz w:val="22"/>
          <w:szCs w:val="22"/>
        </w:rPr>
        <w:t xml:space="preserve"> PSD APPLICABILITY ANALYSIS</w:t>
      </w:r>
    </w:p>
    <w:tbl>
      <w:tblPr>
        <w:tblW w:w="10156" w:type="dxa"/>
        <w:tblInd w:w="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1893"/>
        <w:gridCol w:w="2070"/>
        <w:gridCol w:w="1620"/>
        <w:gridCol w:w="1783"/>
        <w:gridCol w:w="1530"/>
      </w:tblGrid>
      <w:tr w:rsidR="00CB2F79" w:rsidRPr="00A63ADA" w:rsidTr="00A67A8D">
        <w:trPr>
          <w:trHeight w:val="203"/>
          <w:tblHeader/>
        </w:trPr>
        <w:tc>
          <w:tcPr>
            <w:tcW w:w="1260" w:type="dxa"/>
            <w:vMerge w:val="restart"/>
            <w:shd w:val="clear" w:color="auto" w:fill="C6D9F1" w:themeFill="text2" w:themeFillTint="33"/>
            <w:vAlign w:val="center"/>
          </w:tcPr>
          <w:p w:rsidR="00CB2F79" w:rsidRPr="00D173BF" w:rsidRDefault="00CB2F79" w:rsidP="00A67A8D">
            <w:pPr>
              <w:pStyle w:val="BodyText"/>
              <w:widowControl w:val="0"/>
              <w:jc w:val="center"/>
              <w:rPr>
                <w:b/>
                <w:sz w:val="20"/>
              </w:rPr>
            </w:pPr>
            <w:r w:rsidRPr="00D173BF">
              <w:rPr>
                <w:b/>
                <w:sz w:val="20"/>
              </w:rPr>
              <w:t>Pollutant</w:t>
            </w:r>
          </w:p>
        </w:tc>
        <w:tc>
          <w:tcPr>
            <w:tcW w:w="7366" w:type="dxa"/>
            <w:gridSpan w:val="4"/>
            <w:tcBorders>
              <w:bottom w:val="single" w:sz="12" w:space="0" w:color="auto"/>
            </w:tcBorders>
            <w:shd w:val="clear" w:color="auto" w:fill="C6D9F1" w:themeFill="text2" w:themeFillTint="33"/>
          </w:tcPr>
          <w:p w:rsidR="00CB2F79" w:rsidRPr="00D173BF" w:rsidRDefault="00CB2F79" w:rsidP="00A67A8D">
            <w:pPr>
              <w:pStyle w:val="BodyText"/>
              <w:widowControl w:val="0"/>
              <w:spacing w:after="0"/>
              <w:jc w:val="center"/>
              <w:rPr>
                <w:b/>
                <w:sz w:val="20"/>
              </w:rPr>
            </w:pPr>
            <w:r w:rsidRPr="00D173BF">
              <w:rPr>
                <w:b/>
                <w:sz w:val="20"/>
              </w:rPr>
              <w:t>Annual Emissions, Tons/Year</w:t>
            </w:r>
          </w:p>
        </w:tc>
        <w:tc>
          <w:tcPr>
            <w:tcW w:w="1530" w:type="dxa"/>
            <w:vMerge w:val="restart"/>
            <w:shd w:val="clear" w:color="auto" w:fill="C6D9F1" w:themeFill="text2" w:themeFillTint="33"/>
            <w:vAlign w:val="center"/>
          </w:tcPr>
          <w:p w:rsidR="00CB2F79" w:rsidRPr="00D173BF" w:rsidRDefault="00CB2F79" w:rsidP="00A67A8D">
            <w:pPr>
              <w:pStyle w:val="BodyText"/>
              <w:widowControl w:val="0"/>
              <w:spacing w:after="0"/>
              <w:jc w:val="center"/>
              <w:rPr>
                <w:b/>
                <w:sz w:val="20"/>
              </w:rPr>
            </w:pPr>
            <w:r w:rsidRPr="00D173BF">
              <w:rPr>
                <w:b/>
                <w:sz w:val="20"/>
              </w:rPr>
              <w:t>Subject to</w:t>
            </w:r>
            <w:r>
              <w:rPr>
                <w:b/>
                <w:sz w:val="20"/>
              </w:rPr>
              <w:t xml:space="preserve"> </w:t>
            </w:r>
            <w:r w:rsidRPr="00D173BF">
              <w:rPr>
                <w:b/>
                <w:sz w:val="20"/>
              </w:rPr>
              <w:t>PSD?</w:t>
            </w:r>
          </w:p>
        </w:tc>
      </w:tr>
      <w:tr w:rsidR="00213E9E" w:rsidRPr="00A63ADA" w:rsidTr="00213E9E">
        <w:trPr>
          <w:trHeight w:val="548"/>
          <w:tblHeader/>
        </w:trPr>
        <w:tc>
          <w:tcPr>
            <w:tcW w:w="1260" w:type="dxa"/>
            <w:vMerge/>
            <w:vAlign w:val="center"/>
          </w:tcPr>
          <w:p w:rsidR="00213E9E" w:rsidRPr="00D173BF" w:rsidRDefault="00213E9E" w:rsidP="00A67A8D">
            <w:pPr>
              <w:pStyle w:val="BodyText"/>
              <w:widowControl w:val="0"/>
              <w:spacing w:after="0"/>
              <w:jc w:val="center"/>
              <w:rPr>
                <w:b/>
                <w:sz w:val="20"/>
              </w:rPr>
            </w:pPr>
          </w:p>
        </w:tc>
        <w:tc>
          <w:tcPr>
            <w:tcW w:w="1893" w:type="dxa"/>
            <w:tcBorders>
              <w:right w:val="single" w:sz="12" w:space="0" w:color="auto"/>
            </w:tcBorders>
            <w:shd w:val="clear" w:color="auto" w:fill="C6D9F1" w:themeFill="text2" w:themeFillTint="33"/>
            <w:vAlign w:val="center"/>
          </w:tcPr>
          <w:p w:rsidR="00213E9E" w:rsidRPr="00D173BF" w:rsidRDefault="00213E9E" w:rsidP="00A67A8D">
            <w:pPr>
              <w:pStyle w:val="BodyText"/>
              <w:widowControl w:val="0"/>
              <w:spacing w:after="0"/>
              <w:jc w:val="center"/>
              <w:rPr>
                <w:b/>
                <w:sz w:val="20"/>
              </w:rPr>
            </w:pPr>
            <w:r w:rsidRPr="00D173BF">
              <w:rPr>
                <w:b/>
                <w:sz w:val="20"/>
              </w:rPr>
              <w:t>Baseline</w:t>
            </w:r>
            <w:r>
              <w:rPr>
                <w:b/>
                <w:sz w:val="20"/>
              </w:rPr>
              <w:t xml:space="preserve"> </w:t>
            </w:r>
            <w:r w:rsidRPr="00D173BF">
              <w:rPr>
                <w:b/>
                <w:sz w:val="20"/>
              </w:rPr>
              <w:t>Actual</w:t>
            </w:r>
            <w:r>
              <w:rPr>
                <w:b/>
                <w:sz w:val="20"/>
              </w:rPr>
              <w:t xml:space="preserve"> </w:t>
            </w:r>
            <w:r w:rsidRPr="00DC62B9">
              <w:rPr>
                <w:b/>
                <w:sz w:val="20"/>
                <w:vertAlign w:val="superscript"/>
              </w:rPr>
              <w:t>a</w:t>
            </w:r>
          </w:p>
        </w:tc>
        <w:tc>
          <w:tcPr>
            <w:tcW w:w="2070" w:type="dxa"/>
            <w:tcBorders>
              <w:left w:val="single" w:sz="12" w:space="0" w:color="auto"/>
              <w:right w:val="single" w:sz="12" w:space="0" w:color="auto"/>
            </w:tcBorders>
            <w:shd w:val="clear" w:color="auto" w:fill="C6D9F1" w:themeFill="text2" w:themeFillTint="33"/>
          </w:tcPr>
          <w:p w:rsidR="00213E9E" w:rsidRPr="00D173BF" w:rsidRDefault="00213E9E" w:rsidP="00213E9E">
            <w:pPr>
              <w:pStyle w:val="BodyText"/>
              <w:widowControl w:val="0"/>
              <w:spacing w:after="0"/>
              <w:jc w:val="center"/>
              <w:rPr>
                <w:b/>
                <w:sz w:val="20"/>
              </w:rPr>
            </w:pPr>
            <w:r w:rsidRPr="00D173BF">
              <w:rPr>
                <w:b/>
                <w:sz w:val="20"/>
              </w:rPr>
              <w:t>Projected</w:t>
            </w:r>
            <w:r>
              <w:rPr>
                <w:b/>
                <w:sz w:val="20"/>
              </w:rPr>
              <w:t xml:space="preserve"> </w:t>
            </w:r>
            <w:r w:rsidRPr="00D173BF">
              <w:rPr>
                <w:b/>
                <w:sz w:val="20"/>
              </w:rPr>
              <w:t>Actual</w:t>
            </w:r>
            <w:r>
              <w:rPr>
                <w:b/>
                <w:sz w:val="20"/>
              </w:rPr>
              <w:t xml:space="preserve"> </w:t>
            </w:r>
            <w:r w:rsidRPr="0082717F">
              <w:rPr>
                <w:b/>
                <w:sz w:val="20"/>
                <w:vertAlign w:val="superscript"/>
              </w:rPr>
              <w:t>b</w:t>
            </w:r>
            <w:r>
              <w:rPr>
                <w:b/>
                <w:sz w:val="20"/>
                <w:vertAlign w:val="superscript"/>
              </w:rPr>
              <w:t xml:space="preserve"> </w:t>
            </w:r>
            <w:r>
              <w:rPr>
                <w:b/>
                <w:sz w:val="20"/>
              </w:rPr>
              <w:t>(</w:t>
            </w:r>
            <w:r w:rsidRPr="00D173BF">
              <w:rPr>
                <w:b/>
                <w:sz w:val="20"/>
              </w:rPr>
              <w:t>Winter Peak</w:t>
            </w:r>
            <w:r>
              <w:rPr>
                <w:b/>
                <w:sz w:val="20"/>
              </w:rPr>
              <w:t>)</w:t>
            </w:r>
          </w:p>
        </w:tc>
        <w:tc>
          <w:tcPr>
            <w:tcW w:w="1620" w:type="dxa"/>
            <w:tcBorders>
              <w:left w:val="single" w:sz="12" w:space="0" w:color="auto"/>
              <w:right w:val="single" w:sz="12" w:space="0" w:color="auto"/>
            </w:tcBorders>
            <w:shd w:val="clear" w:color="auto" w:fill="C6D9F1" w:themeFill="text2" w:themeFillTint="33"/>
            <w:vAlign w:val="center"/>
          </w:tcPr>
          <w:p w:rsidR="00213E9E" w:rsidRPr="00D173BF" w:rsidRDefault="00213E9E" w:rsidP="00A67A8D">
            <w:pPr>
              <w:pStyle w:val="BodyText"/>
              <w:widowControl w:val="0"/>
              <w:spacing w:after="0"/>
              <w:jc w:val="center"/>
              <w:rPr>
                <w:b/>
                <w:sz w:val="20"/>
              </w:rPr>
            </w:pPr>
            <w:r w:rsidRPr="00D173BF">
              <w:rPr>
                <w:b/>
                <w:sz w:val="20"/>
              </w:rPr>
              <w:t>Increase</w:t>
            </w:r>
          </w:p>
        </w:tc>
        <w:tc>
          <w:tcPr>
            <w:tcW w:w="1783" w:type="dxa"/>
            <w:tcBorders>
              <w:left w:val="single" w:sz="12" w:space="0" w:color="auto"/>
            </w:tcBorders>
            <w:shd w:val="clear" w:color="auto" w:fill="C6D9F1" w:themeFill="text2" w:themeFillTint="33"/>
            <w:vAlign w:val="center"/>
          </w:tcPr>
          <w:p w:rsidR="00213E9E" w:rsidRPr="00D173BF" w:rsidRDefault="00213E9E" w:rsidP="00A67A8D">
            <w:pPr>
              <w:pStyle w:val="BodyText"/>
              <w:widowControl w:val="0"/>
              <w:spacing w:after="0"/>
              <w:jc w:val="center"/>
              <w:rPr>
                <w:b/>
                <w:sz w:val="20"/>
              </w:rPr>
            </w:pPr>
            <w:r w:rsidRPr="00D173BF">
              <w:rPr>
                <w:b/>
                <w:sz w:val="20"/>
              </w:rPr>
              <w:t>SER</w:t>
            </w:r>
          </w:p>
        </w:tc>
        <w:tc>
          <w:tcPr>
            <w:tcW w:w="1530" w:type="dxa"/>
            <w:vMerge/>
            <w:vAlign w:val="center"/>
          </w:tcPr>
          <w:p w:rsidR="00213E9E" w:rsidRPr="00D173BF" w:rsidRDefault="00213E9E" w:rsidP="00A67A8D">
            <w:pPr>
              <w:pStyle w:val="BodyText"/>
              <w:widowControl w:val="0"/>
              <w:spacing w:after="0"/>
              <w:jc w:val="center"/>
              <w:rPr>
                <w:b/>
                <w:sz w:val="20"/>
              </w:rPr>
            </w:pPr>
          </w:p>
        </w:tc>
      </w:tr>
      <w:tr w:rsidR="00213E9E" w:rsidRPr="00A63ADA" w:rsidTr="00213E9E">
        <w:trPr>
          <w:trHeight w:val="86"/>
        </w:trPr>
        <w:tc>
          <w:tcPr>
            <w:tcW w:w="1260" w:type="dxa"/>
            <w:tcBorders>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CO</w:t>
            </w:r>
          </w:p>
        </w:tc>
        <w:tc>
          <w:tcPr>
            <w:tcW w:w="1893" w:type="dxa"/>
            <w:tcBorders>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99.2</w:t>
            </w:r>
          </w:p>
        </w:tc>
        <w:tc>
          <w:tcPr>
            <w:tcW w:w="2070" w:type="dxa"/>
            <w:tcBorders>
              <w:left w:val="single" w:sz="12"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101.</w:t>
            </w:r>
            <w:r w:rsidR="00AA312E">
              <w:rPr>
                <w:sz w:val="20"/>
              </w:rPr>
              <w:t>4</w:t>
            </w:r>
          </w:p>
        </w:tc>
        <w:tc>
          <w:tcPr>
            <w:tcW w:w="1620" w:type="dxa"/>
            <w:tcBorders>
              <w:left w:val="single" w:sz="12" w:space="0" w:color="auto"/>
              <w:bottom w:val="single" w:sz="8" w:space="0" w:color="auto"/>
              <w:right w:val="single" w:sz="12" w:space="0" w:color="auto"/>
            </w:tcBorders>
          </w:tcPr>
          <w:p w:rsidR="00213E9E" w:rsidRPr="00D173BF" w:rsidRDefault="00780D58" w:rsidP="00A67A8D">
            <w:pPr>
              <w:pStyle w:val="BodyText"/>
              <w:widowControl w:val="0"/>
              <w:spacing w:after="0"/>
              <w:jc w:val="center"/>
              <w:rPr>
                <w:sz w:val="20"/>
              </w:rPr>
            </w:pPr>
            <w:r>
              <w:rPr>
                <w:sz w:val="20"/>
              </w:rPr>
              <w:t>2.2</w:t>
            </w:r>
          </w:p>
        </w:tc>
        <w:tc>
          <w:tcPr>
            <w:tcW w:w="1783" w:type="dxa"/>
            <w:tcBorders>
              <w:left w:val="single" w:sz="12"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100</w:t>
            </w:r>
          </w:p>
        </w:tc>
        <w:tc>
          <w:tcPr>
            <w:tcW w:w="1530" w:type="dxa"/>
            <w:tcBorders>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No</w:t>
            </w:r>
          </w:p>
        </w:tc>
      </w:tr>
      <w:tr w:rsidR="00213E9E" w:rsidRPr="00A63ADA" w:rsidTr="00213E9E">
        <w:trPr>
          <w:trHeight w:val="140"/>
        </w:trPr>
        <w:tc>
          <w:tcPr>
            <w:tcW w:w="126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NO</w:t>
            </w:r>
            <w:r w:rsidRPr="00D173BF">
              <w:rPr>
                <w:sz w:val="20"/>
                <w:vertAlign w:val="subscript"/>
              </w:rPr>
              <w:t>X</w:t>
            </w:r>
          </w:p>
        </w:tc>
        <w:tc>
          <w:tcPr>
            <w:tcW w:w="1893" w:type="dxa"/>
            <w:tcBorders>
              <w:top w:val="single" w:sz="8"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502.4</w:t>
            </w:r>
          </w:p>
        </w:tc>
        <w:tc>
          <w:tcPr>
            <w:tcW w:w="2070" w:type="dxa"/>
            <w:tcBorders>
              <w:top w:val="single" w:sz="8" w:space="0" w:color="auto"/>
              <w:left w:val="single" w:sz="12"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513.</w:t>
            </w:r>
            <w:r w:rsidR="00AA312E">
              <w:rPr>
                <w:sz w:val="20"/>
              </w:rPr>
              <w:t>5</w:t>
            </w:r>
          </w:p>
        </w:tc>
        <w:tc>
          <w:tcPr>
            <w:tcW w:w="1620" w:type="dxa"/>
            <w:tcBorders>
              <w:top w:val="single" w:sz="8" w:space="0" w:color="auto"/>
              <w:left w:val="single" w:sz="12" w:space="0" w:color="auto"/>
              <w:bottom w:val="single" w:sz="8" w:space="0" w:color="auto"/>
              <w:right w:val="single" w:sz="12" w:space="0" w:color="auto"/>
            </w:tcBorders>
          </w:tcPr>
          <w:p w:rsidR="00213E9E" w:rsidRPr="00D173BF" w:rsidRDefault="00780D58" w:rsidP="00A67A8D">
            <w:pPr>
              <w:pStyle w:val="BodyText"/>
              <w:widowControl w:val="0"/>
              <w:spacing w:after="0"/>
              <w:jc w:val="center"/>
              <w:rPr>
                <w:sz w:val="20"/>
              </w:rPr>
            </w:pPr>
            <w:r>
              <w:rPr>
                <w:sz w:val="20"/>
              </w:rPr>
              <w:t>11.1</w:t>
            </w:r>
          </w:p>
        </w:tc>
        <w:tc>
          <w:tcPr>
            <w:tcW w:w="1783" w:type="dxa"/>
            <w:tcBorders>
              <w:top w:val="single" w:sz="8" w:space="0" w:color="auto"/>
              <w:left w:val="single" w:sz="12"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40</w:t>
            </w:r>
          </w:p>
        </w:tc>
        <w:tc>
          <w:tcPr>
            <w:tcW w:w="153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No</w:t>
            </w:r>
          </w:p>
        </w:tc>
      </w:tr>
      <w:tr w:rsidR="00213E9E" w:rsidRPr="00A63ADA" w:rsidTr="00213E9E">
        <w:trPr>
          <w:trHeight w:val="113"/>
        </w:trPr>
        <w:tc>
          <w:tcPr>
            <w:tcW w:w="126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PM</w:t>
            </w:r>
          </w:p>
        </w:tc>
        <w:tc>
          <w:tcPr>
            <w:tcW w:w="1893" w:type="dxa"/>
            <w:tcBorders>
              <w:top w:val="single" w:sz="8"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94.9</w:t>
            </w:r>
          </w:p>
        </w:tc>
        <w:tc>
          <w:tcPr>
            <w:tcW w:w="2070" w:type="dxa"/>
            <w:tcBorders>
              <w:top w:val="single" w:sz="8" w:space="0" w:color="auto"/>
              <w:left w:val="single" w:sz="12"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97.0</w:t>
            </w:r>
          </w:p>
        </w:tc>
        <w:tc>
          <w:tcPr>
            <w:tcW w:w="1620" w:type="dxa"/>
            <w:tcBorders>
              <w:top w:val="single" w:sz="8" w:space="0" w:color="auto"/>
              <w:left w:val="single" w:sz="12" w:space="0" w:color="auto"/>
              <w:bottom w:val="single" w:sz="8" w:space="0" w:color="auto"/>
              <w:right w:val="single" w:sz="12" w:space="0" w:color="auto"/>
            </w:tcBorders>
          </w:tcPr>
          <w:p w:rsidR="00213E9E" w:rsidRPr="00D173BF" w:rsidRDefault="00780D58" w:rsidP="00A67A8D">
            <w:pPr>
              <w:pStyle w:val="BodyText"/>
              <w:widowControl w:val="0"/>
              <w:spacing w:after="0"/>
              <w:jc w:val="center"/>
              <w:rPr>
                <w:sz w:val="20"/>
              </w:rPr>
            </w:pPr>
            <w:r>
              <w:rPr>
                <w:sz w:val="20"/>
              </w:rPr>
              <w:t>2.1</w:t>
            </w:r>
          </w:p>
        </w:tc>
        <w:tc>
          <w:tcPr>
            <w:tcW w:w="1783" w:type="dxa"/>
            <w:tcBorders>
              <w:top w:val="single" w:sz="8" w:space="0" w:color="auto"/>
              <w:left w:val="single" w:sz="12"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25/</w:t>
            </w:r>
          </w:p>
        </w:tc>
        <w:tc>
          <w:tcPr>
            <w:tcW w:w="153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No</w:t>
            </w:r>
          </w:p>
        </w:tc>
      </w:tr>
      <w:tr w:rsidR="00213E9E" w:rsidRPr="00A63ADA" w:rsidTr="00213E9E">
        <w:trPr>
          <w:trHeight w:val="167"/>
        </w:trPr>
        <w:tc>
          <w:tcPr>
            <w:tcW w:w="126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PM</w:t>
            </w:r>
            <w:r w:rsidRPr="00D173BF">
              <w:rPr>
                <w:sz w:val="20"/>
                <w:vertAlign w:val="subscript"/>
              </w:rPr>
              <w:t>10</w:t>
            </w:r>
          </w:p>
        </w:tc>
        <w:tc>
          <w:tcPr>
            <w:tcW w:w="1893" w:type="dxa"/>
            <w:tcBorders>
              <w:top w:val="single" w:sz="8"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30.6</w:t>
            </w:r>
          </w:p>
        </w:tc>
        <w:tc>
          <w:tcPr>
            <w:tcW w:w="2070" w:type="dxa"/>
            <w:tcBorders>
              <w:top w:val="single" w:sz="8" w:space="0" w:color="auto"/>
              <w:left w:val="single" w:sz="12"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31.3</w:t>
            </w:r>
          </w:p>
        </w:tc>
        <w:tc>
          <w:tcPr>
            <w:tcW w:w="1620" w:type="dxa"/>
            <w:tcBorders>
              <w:top w:val="single" w:sz="8" w:space="0" w:color="auto"/>
              <w:left w:val="single" w:sz="12" w:space="0" w:color="auto"/>
              <w:bottom w:val="single" w:sz="8" w:space="0" w:color="auto"/>
              <w:right w:val="single" w:sz="12" w:space="0" w:color="auto"/>
            </w:tcBorders>
          </w:tcPr>
          <w:p w:rsidR="00213E9E" w:rsidRPr="00D173BF" w:rsidRDefault="00780D58" w:rsidP="00A67A8D">
            <w:pPr>
              <w:pStyle w:val="BodyText"/>
              <w:widowControl w:val="0"/>
              <w:spacing w:after="0"/>
              <w:jc w:val="center"/>
              <w:rPr>
                <w:sz w:val="20"/>
              </w:rPr>
            </w:pPr>
            <w:r>
              <w:rPr>
                <w:sz w:val="20"/>
              </w:rPr>
              <w:t>0.7</w:t>
            </w:r>
          </w:p>
        </w:tc>
        <w:tc>
          <w:tcPr>
            <w:tcW w:w="1783" w:type="dxa"/>
            <w:tcBorders>
              <w:top w:val="single" w:sz="8" w:space="0" w:color="auto"/>
              <w:left w:val="single" w:sz="12"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15/</w:t>
            </w:r>
          </w:p>
        </w:tc>
        <w:tc>
          <w:tcPr>
            <w:tcW w:w="153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No</w:t>
            </w:r>
          </w:p>
        </w:tc>
      </w:tr>
      <w:tr w:rsidR="00213E9E" w:rsidRPr="00A63ADA" w:rsidTr="00213E9E">
        <w:trPr>
          <w:trHeight w:val="167"/>
        </w:trPr>
        <w:tc>
          <w:tcPr>
            <w:tcW w:w="126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PM</w:t>
            </w:r>
            <w:r w:rsidRPr="00D173BF">
              <w:rPr>
                <w:sz w:val="20"/>
                <w:vertAlign w:val="subscript"/>
              </w:rPr>
              <w:t>2.5</w:t>
            </w:r>
          </w:p>
        </w:tc>
        <w:tc>
          <w:tcPr>
            <w:tcW w:w="1893" w:type="dxa"/>
            <w:tcBorders>
              <w:top w:val="single" w:sz="8"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30.6</w:t>
            </w:r>
          </w:p>
        </w:tc>
        <w:tc>
          <w:tcPr>
            <w:tcW w:w="2070" w:type="dxa"/>
            <w:tcBorders>
              <w:top w:val="single" w:sz="8" w:space="0" w:color="auto"/>
              <w:left w:val="single" w:sz="12"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31.3</w:t>
            </w:r>
          </w:p>
        </w:tc>
        <w:tc>
          <w:tcPr>
            <w:tcW w:w="1620" w:type="dxa"/>
            <w:tcBorders>
              <w:top w:val="single" w:sz="8" w:space="0" w:color="auto"/>
              <w:left w:val="single" w:sz="12" w:space="0" w:color="auto"/>
              <w:bottom w:val="single" w:sz="8" w:space="0" w:color="auto"/>
              <w:right w:val="single" w:sz="12" w:space="0" w:color="auto"/>
            </w:tcBorders>
          </w:tcPr>
          <w:p w:rsidR="00213E9E" w:rsidRPr="00D173BF" w:rsidRDefault="00780D58" w:rsidP="00A67A8D">
            <w:pPr>
              <w:pStyle w:val="BodyText"/>
              <w:widowControl w:val="0"/>
              <w:spacing w:after="0"/>
              <w:jc w:val="center"/>
              <w:rPr>
                <w:sz w:val="20"/>
              </w:rPr>
            </w:pPr>
            <w:r>
              <w:rPr>
                <w:sz w:val="20"/>
              </w:rPr>
              <w:t>0.7</w:t>
            </w:r>
          </w:p>
        </w:tc>
        <w:tc>
          <w:tcPr>
            <w:tcW w:w="1783" w:type="dxa"/>
            <w:tcBorders>
              <w:top w:val="single" w:sz="8" w:space="0" w:color="auto"/>
              <w:left w:val="single" w:sz="12"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10</w:t>
            </w:r>
          </w:p>
        </w:tc>
        <w:tc>
          <w:tcPr>
            <w:tcW w:w="153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No</w:t>
            </w:r>
          </w:p>
        </w:tc>
      </w:tr>
      <w:tr w:rsidR="00213E9E" w:rsidRPr="00A63ADA" w:rsidTr="00213E9E">
        <w:trPr>
          <w:trHeight w:val="167"/>
        </w:trPr>
        <w:tc>
          <w:tcPr>
            <w:tcW w:w="126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SO</w:t>
            </w:r>
            <w:r w:rsidRPr="00D173BF">
              <w:rPr>
                <w:sz w:val="20"/>
                <w:vertAlign w:val="subscript"/>
              </w:rPr>
              <w:t>2</w:t>
            </w:r>
          </w:p>
        </w:tc>
        <w:tc>
          <w:tcPr>
            <w:tcW w:w="1893" w:type="dxa"/>
            <w:tcBorders>
              <w:top w:val="single" w:sz="8"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6.5</w:t>
            </w:r>
          </w:p>
        </w:tc>
        <w:tc>
          <w:tcPr>
            <w:tcW w:w="2070" w:type="dxa"/>
            <w:tcBorders>
              <w:top w:val="single" w:sz="8" w:space="0" w:color="auto"/>
              <w:left w:val="single" w:sz="12"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6.6</w:t>
            </w:r>
          </w:p>
        </w:tc>
        <w:tc>
          <w:tcPr>
            <w:tcW w:w="1620" w:type="dxa"/>
            <w:tcBorders>
              <w:top w:val="single" w:sz="8" w:space="0" w:color="auto"/>
              <w:left w:val="single" w:sz="12" w:space="0" w:color="auto"/>
              <w:bottom w:val="single" w:sz="8" w:space="0" w:color="auto"/>
              <w:right w:val="single" w:sz="12" w:space="0" w:color="auto"/>
            </w:tcBorders>
          </w:tcPr>
          <w:p w:rsidR="00213E9E" w:rsidRPr="00D173BF" w:rsidRDefault="00780D58" w:rsidP="00A67A8D">
            <w:pPr>
              <w:pStyle w:val="BodyText"/>
              <w:widowControl w:val="0"/>
              <w:spacing w:after="0"/>
              <w:jc w:val="center"/>
              <w:rPr>
                <w:sz w:val="20"/>
              </w:rPr>
            </w:pPr>
            <w:r>
              <w:rPr>
                <w:sz w:val="20"/>
              </w:rPr>
              <w:t>0.1</w:t>
            </w:r>
          </w:p>
        </w:tc>
        <w:tc>
          <w:tcPr>
            <w:tcW w:w="1783" w:type="dxa"/>
            <w:tcBorders>
              <w:top w:val="single" w:sz="8" w:space="0" w:color="auto"/>
              <w:left w:val="single" w:sz="12"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40</w:t>
            </w:r>
          </w:p>
        </w:tc>
        <w:tc>
          <w:tcPr>
            <w:tcW w:w="153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No</w:t>
            </w:r>
          </w:p>
        </w:tc>
      </w:tr>
      <w:tr w:rsidR="00213E9E" w:rsidRPr="00A63ADA" w:rsidTr="00213E9E">
        <w:trPr>
          <w:trHeight w:val="122"/>
        </w:trPr>
        <w:tc>
          <w:tcPr>
            <w:tcW w:w="126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VOC</w:t>
            </w:r>
          </w:p>
        </w:tc>
        <w:tc>
          <w:tcPr>
            <w:tcW w:w="1893" w:type="dxa"/>
            <w:tcBorders>
              <w:top w:val="single" w:sz="8"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15.1</w:t>
            </w:r>
          </w:p>
        </w:tc>
        <w:tc>
          <w:tcPr>
            <w:tcW w:w="2070" w:type="dxa"/>
            <w:tcBorders>
              <w:top w:val="single" w:sz="8" w:space="0" w:color="auto"/>
              <w:left w:val="single" w:sz="12" w:space="0" w:color="auto"/>
              <w:bottom w:val="single" w:sz="8" w:space="0" w:color="auto"/>
              <w:right w:val="single" w:sz="12" w:space="0" w:color="auto"/>
            </w:tcBorders>
          </w:tcPr>
          <w:p w:rsidR="00213E9E" w:rsidRPr="00D173BF" w:rsidRDefault="00986BF7" w:rsidP="00A67A8D">
            <w:pPr>
              <w:pStyle w:val="BodyText"/>
              <w:widowControl w:val="0"/>
              <w:spacing w:after="0"/>
              <w:jc w:val="center"/>
              <w:rPr>
                <w:sz w:val="20"/>
              </w:rPr>
            </w:pPr>
            <w:r>
              <w:rPr>
                <w:sz w:val="20"/>
              </w:rPr>
              <w:t>15.4</w:t>
            </w:r>
          </w:p>
        </w:tc>
        <w:tc>
          <w:tcPr>
            <w:tcW w:w="1620" w:type="dxa"/>
            <w:tcBorders>
              <w:top w:val="single" w:sz="8" w:space="0" w:color="auto"/>
              <w:left w:val="single" w:sz="12" w:space="0" w:color="auto"/>
              <w:bottom w:val="single" w:sz="8" w:space="0" w:color="auto"/>
              <w:right w:val="single" w:sz="12" w:space="0" w:color="auto"/>
            </w:tcBorders>
          </w:tcPr>
          <w:p w:rsidR="00213E9E" w:rsidRPr="00D173BF" w:rsidRDefault="00780D58" w:rsidP="00A67A8D">
            <w:pPr>
              <w:pStyle w:val="BodyText"/>
              <w:widowControl w:val="0"/>
              <w:spacing w:after="0"/>
              <w:jc w:val="center"/>
              <w:rPr>
                <w:sz w:val="20"/>
              </w:rPr>
            </w:pPr>
            <w:r>
              <w:rPr>
                <w:sz w:val="20"/>
              </w:rPr>
              <w:t>0.3</w:t>
            </w:r>
          </w:p>
        </w:tc>
        <w:tc>
          <w:tcPr>
            <w:tcW w:w="1783" w:type="dxa"/>
            <w:tcBorders>
              <w:top w:val="single" w:sz="8" w:space="0" w:color="auto"/>
              <w:left w:val="single" w:sz="12"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40</w:t>
            </w:r>
          </w:p>
        </w:tc>
        <w:tc>
          <w:tcPr>
            <w:tcW w:w="153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No</w:t>
            </w:r>
          </w:p>
        </w:tc>
      </w:tr>
      <w:tr w:rsidR="00213E9E" w:rsidRPr="00A63ADA" w:rsidTr="00213E9E">
        <w:trPr>
          <w:trHeight w:val="122"/>
        </w:trPr>
        <w:tc>
          <w:tcPr>
            <w:tcW w:w="126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sidRPr="00D173BF">
              <w:rPr>
                <w:sz w:val="20"/>
              </w:rPr>
              <w:t>CO</w:t>
            </w:r>
            <w:r w:rsidRPr="00D173BF">
              <w:rPr>
                <w:sz w:val="20"/>
                <w:vertAlign w:val="subscript"/>
              </w:rPr>
              <w:t>2</w:t>
            </w:r>
            <w:r w:rsidRPr="00D173BF">
              <w:rPr>
                <w:sz w:val="20"/>
              </w:rPr>
              <w:t>e</w:t>
            </w:r>
          </w:p>
        </w:tc>
        <w:tc>
          <w:tcPr>
            <w:tcW w:w="1893" w:type="dxa"/>
            <w:tcBorders>
              <w:top w:val="single" w:sz="8" w:space="0" w:color="auto"/>
              <w:bottom w:val="single" w:sz="8" w:space="0" w:color="auto"/>
              <w:right w:val="single" w:sz="12" w:space="0" w:color="auto"/>
            </w:tcBorders>
          </w:tcPr>
          <w:p w:rsidR="00213E9E" w:rsidRPr="00D173BF" w:rsidRDefault="00213E9E" w:rsidP="00A67A8D">
            <w:pPr>
              <w:pStyle w:val="BodyText"/>
              <w:widowControl w:val="0"/>
              <w:spacing w:after="0"/>
              <w:jc w:val="center"/>
              <w:rPr>
                <w:sz w:val="20"/>
              </w:rPr>
            </w:pPr>
            <w:r>
              <w:rPr>
                <w:sz w:val="20"/>
              </w:rPr>
              <w:t>1,871,038</w:t>
            </w:r>
          </w:p>
        </w:tc>
        <w:tc>
          <w:tcPr>
            <w:tcW w:w="2070" w:type="dxa"/>
            <w:tcBorders>
              <w:top w:val="single" w:sz="8" w:space="0" w:color="auto"/>
              <w:left w:val="single" w:sz="12" w:space="0" w:color="auto"/>
              <w:bottom w:val="single" w:sz="8" w:space="0" w:color="auto"/>
              <w:right w:val="single" w:sz="12" w:space="0" w:color="auto"/>
            </w:tcBorders>
          </w:tcPr>
          <w:p w:rsidR="00213E9E" w:rsidRPr="00D173BF" w:rsidRDefault="00986BF7" w:rsidP="00A67A8D">
            <w:pPr>
              <w:pStyle w:val="BodyText"/>
              <w:widowControl w:val="0"/>
              <w:spacing w:after="0"/>
              <w:jc w:val="center"/>
              <w:rPr>
                <w:sz w:val="20"/>
              </w:rPr>
            </w:pPr>
            <w:r>
              <w:rPr>
                <w:sz w:val="20"/>
              </w:rPr>
              <w:t>1,912,201</w:t>
            </w:r>
          </w:p>
        </w:tc>
        <w:tc>
          <w:tcPr>
            <w:tcW w:w="1620" w:type="dxa"/>
            <w:tcBorders>
              <w:top w:val="single" w:sz="8" w:space="0" w:color="auto"/>
              <w:left w:val="single" w:sz="12" w:space="0" w:color="auto"/>
              <w:bottom w:val="single" w:sz="8" w:space="0" w:color="auto"/>
              <w:right w:val="single" w:sz="12" w:space="0" w:color="auto"/>
            </w:tcBorders>
          </w:tcPr>
          <w:p w:rsidR="00213E9E" w:rsidRPr="00D173BF" w:rsidRDefault="00780D58" w:rsidP="00A67A8D">
            <w:pPr>
              <w:pStyle w:val="BodyText"/>
              <w:widowControl w:val="0"/>
              <w:spacing w:after="0"/>
              <w:jc w:val="center"/>
              <w:rPr>
                <w:sz w:val="20"/>
              </w:rPr>
            </w:pPr>
            <w:r>
              <w:rPr>
                <w:sz w:val="20"/>
              </w:rPr>
              <w:t>41,163</w:t>
            </w:r>
          </w:p>
        </w:tc>
        <w:tc>
          <w:tcPr>
            <w:tcW w:w="1783" w:type="dxa"/>
            <w:tcBorders>
              <w:top w:val="single" w:sz="8" w:space="0" w:color="auto"/>
              <w:left w:val="single" w:sz="12" w:space="0" w:color="auto"/>
              <w:bottom w:val="single" w:sz="8" w:space="0" w:color="auto"/>
            </w:tcBorders>
          </w:tcPr>
          <w:p w:rsidR="00213E9E" w:rsidRPr="00D173BF" w:rsidRDefault="00213E9E" w:rsidP="00A67A8D">
            <w:pPr>
              <w:pStyle w:val="BodyText"/>
              <w:widowControl w:val="0"/>
              <w:spacing w:after="0"/>
              <w:jc w:val="center"/>
              <w:rPr>
                <w:sz w:val="20"/>
              </w:rPr>
            </w:pPr>
            <w:r>
              <w:rPr>
                <w:sz w:val="20"/>
              </w:rPr>
              <w:t>75,000</w:t>
            </w:r>
          </w:p>
        </w:tc>
        <w:tc>
          <w:tcPr>
            <w:tcW w:w="1530" w:type="dxa"/>
            <w:tcBorders>
              <w:top w:val="single" w:sz="8" w:space="0" w:color="auto"/>
              <w:bottom w:val="single" w:sz="8" w:space="0" w:color="auto"/>
            </w:tcBorders>
          </w:tcPr>
          <w:p w:rsidR="00213E9E" w:rsidRPr="00D173BF" w:rsidRDefault="00213E9E" w:rsidP="00A67A8D">
            <w:pPr>
              <w:pStyle w:val="BodyText"/>
              <w:widowControl w:val="0"/>
              <w:spacing w:after="0"/>
              <w:jc w:val="center"/>
              <w:rPr>
                <w:sz w:val="20"/>
              </w:rPr>
            </w:pPr>
            <w:r>
              <w:rPr>
                <w:sz w:val="20"/>
              </w:rPr>
              <w:t>No</w:t>
            </w:r>
          </w:p>
        </w:tc>
      </w:tr>
      <w:tr w:rsidR="00CB2F79" w:rsidRPr="00A63ADA" w:rsidTr="00A67A8D">
        <w:trPr>
          <w:trHeight w:val="122"/>
        </w:trPr>
        <w:tc>
          <w:tcPr>
            <w:tcW w:w="10156" w:type="dxa"/>
            <w:gridSpan w:val="6"/>
            <w:tcBorders>
              <w:top w:val="single" w:sz="8" w:space="0" w:color="auto"/>
            </w:tcBorders>
          </w:tcPr>
          <w:p w:rsidR="00CB2F79" w:rsidRDefault="00CB2F79" w:rsidP="00A67A8D">
            <w:pPr>
              <w:pStyle w:val="BodyTextIndent"/>
              <w:widowControl w:val="0"/>
              <w:numPr>
                <w:ilvl w:val="0"/>
                <w:numId w:val="10"/>
              </w:numPr>
              <w:spacing w:after="0"/>
              <w:rPr>
                <w:sz w:val="18"/>
                <w:szCs w:val="18"/>
              </w:rPr>
            </w:pPr>
            <w:r w:rsidRPr="00193D79">
              <w:rPr>
                <w:sz w:val="18"/>
                <w:szCs w:val="18"/>
              </w:rPr>
              <w:lastRenderedPageBreak/>
              <w:t xml:space="preserve">Baseline actual emissions (BAE) were calculated based on the following highest consecutive 2-year average:  </w:t>
            </w:r>
            <w:r>
              <w:rPr>
                <w:sz w:val="18"/>
                <w:szCs w:val="18"/>
              </w:rPr>
              <w:t>2017</w:t>
            </w:r>
            <w:r w:rsidRPr="00193D79">
              <w:rPr>
                <w:sz w:val="18"/>
                <w:szCs w:val="18"/>
              </w:rPr>
              <w:t xml:space="preserve"> and </w:t>
            </w:r>
            <w:r>
              <w:rPr>
                <w:sz w:val="18"/>
                <w:szCs w:val="18"/>
              </w:rPr>
              <w:t>2018</w:t>
            </w:r>
            <w:r w:rsidRPr="00193D79">
              <w:rPr>
                <w:sz w:val="18"/>
                <w:szCs w:val="18"/>
              </w:rPr>
              <w:t xml:space="preserve"> for </w:t>
            </w:r>
            <w:r>
              <w:rPr>
                <w:sz w:val="18"/>
                <w:szCs w:val="18"/>
              </w:rPr>
              <w:t>CO</w:t>
            </w:r>
            <w:r w:rsidRPr="00193D79">
              <w:rPr>
                <w:sz w:val="18"/>
                <w:szCs w:val="18"/>
              </w:rPr>
              <w:t xml:space="preserve">; and </w:t>
            </w:r>
            <w:r>
              <w:rPr>
                <w:sz w:val="18"/>
                <w:szCs w:val="18"/>
              </w:rPr>
              <w:t>2018</w:t>
            </w:r>
            <w:r w:rsidRPr="00193D79">
              <w:rPr>
                <w:sz w:val="18"/>
                <w:szCs w:val="18"/>
              </w:rPr>
              <w:t xml:space="preserve"> and </w:t>
            </w:r>
            <w:r>
              <w:rPr>
                <w:sz w:val="18"/>
                <w:szCs w:val="18"/>
              </w:rPr>
              <w:t>2019</w:t>
            </w:r>
            <w:r w:rsidRPr="00193D79">
              <w:rPr>
                <w:sz w:val="18"/>
                <w:szCs w:val="18"/>
              </w:rPr>
              <w:t xml:space="preserve"> for </w:t>
            </w:r>
            <w:r>
              <w:rPr>
                <w:sz w:val="18"/>
                <w:szCs w:val="18"/>
              </w:rPr>
              <w:t>NOx, PM, PM</w:t>
            </w:r>
            <w:r w:rsidRPr="00193D79">
              <w:rPr>
                <w:sz w:val="18"/>
                <w:szCs w:val="18"/>
                <w:vertAlign w:val="subscript"/>
              </w:rPr>
              <w:t>10</w:t>
            </w:r>
            <w:r>
              <w:rPr>
                <w:sz w:val="18"/>
                <w:szCs w:val="18"/>
              </w:rPr>
              <w:t>, PM</w:t>
            </w:r>
            <w:r w:rsidRPr="00193D79">
              <w:rPr>
                <w:sz w:val="18"/>
                <w:szCs w:val="18"/>
                <w:vertAlign w:val="subscript"/>
              </w:rPr>
              <w:t>2.5</w:t>
            </w:r>
            <w:r>
              <w:rPr>
                <w:sz w:val="18"/>
                <w:szCs w:val="18"/>
              </w:rPr>
              <w:t>, SO</w:t>
            </w:r>
            <w:r w:rsidRPr="00193D79">
              <w:rPr>
                <w:sz w:val="18"/>
                <w:szCs w:val="18"/>
                <w:vertAlign w:val="subscript"/>
              </w:rPr>
              <w:t>2</w:t>
            </w:r>
            <w:r>
              <w:rPr>
                <w:sz w:val="18"/>
                <w:szCs w:val="18"/>
              </w:rPr>
              <w:t>, VOC, and CO</w:t>
            </w:r>
            <w:r w:rsidRPr="00193D79">
              <w:rPr>
                <w:sz w:val="18"/>
                <w:szCs w:val="18"/>
                <w:vertAlign w:val="subscript"/>
              </w:rPr>
              <w:t>2</w:t>
            </w:r>
            <w:r>
              <w:rPr>
                <w:sz w:val="18"/>
                <w:szCs w:val="18"/>
              </w:rPr>
              <w:t>e</w:t>
            </w:r>
            <w:r w:rsidRPr="00193D79">
              <w:rPr>
                <w:sz w:val="18"/>
                <w:szCs w:val="18"/>
              </w:rPr>
              <w:t>.</w:t>
            </w:r>
          </w:p>
          <w:p w:rsidR="00CB2F79" w:rsidRDefault="00CB2F79" w:rsidP="00A67A8D">
            <w:pPr>
              <w:pStyle w:val="BodyTextIndent"/>
              <w:widowControl w:val="0"/>
              <w:numPr>
                <w:ilvl w:val="0"/>
                <w:numId w:val="10"/>
              </w:numPr>
              <w:spacing w:after="0"/>
              <w:rPr>
                <w:sz w:val="18"/>
                <w:szCs w:val="18"/>
              </w:rPr>
            </w:pPr>
            <w:r w:rsidRPr="00D9483C">
              <w:rPr>
                <w:sz w:val="18"/>
                <w:szCs w:val="18"/>
              </w:rPr>
              <w:t xml:space="preserve">Projected actual emissions (PAE) for each pollutant </w:t>
            </w:r>
            <w:r>
              <w:rPr>
                <w:sz w:val="18"/>
                <w:szCs w:val="18"/>
              </w:rPr>
              <w:t xml:space="preserve">for the winter baseload were based on </w:t>
            </w:r>
            <w:r w:rsidR="001F3829">
              <w:rPr>
                <w:sz w:val="18"/>
                <w:szCs w:val="18"/>
              </w:rPr>
              <w:t>6</w:t>
            </w:r>
            <w:r>
              <w:rPr>
                <w:sz w:val="18"/>
                <w:szCs w:val="18"/>
              </w:rPr>
              <w:t>,</w:t>
            </w:r>
            <w:r w:rsidR="001F3829">
              <w:rPr>
                <w:sz w:val="18"/>
                <w:szCs w:val="18"/>
              </w:rPr>
              <w:t>0</w:t>
            </w:r>
            <w:r>
              <w:rPr>
                <w:sz w:val="18"/>
                <w:szCs w:val="18"/>
              </w:rPr>
              <w:t xml:space="preserve">00 hours of operation per year in winter </w:t>
            </w:r>
            <w:r w:rsidR="001F3829">
              <w:rPr>
                <w:sz w:val="18"/>
                <w:szCs w:val="18"/>
              </w:rPr>
              <w:t>peak</w:t>
            </w:r>
            <w:r>
              <w:rPr>
                <w:sz w:val="18"/>
                <w:szCs w:val="18"/>
              </w:rPr>
              <w:t xml:space="preserve"> mode with a maximum heat input rate of 2,</w:t>
            </w:r>
            <w:r w:rsidR="001F3829">
              <w:rPr>
                <w:sz w:val="18"/>
                <w:szCs w:val="18"/>
              </w:rPr>
              <w:t>45</w:t>
            </w:r>
            <w:r>
              <w:rPr>
                <w:sz w:val="18"/>
                <w:szCs w:val="18"/>
              </w:rPr>
              <w:t>0 MMBtu/hr</w:t>
            </w:r>
            <w:r w:rsidR="002F2690">
              <w:rPr>
                <w:sz w:val="18"/>
                <w:szCs w:val="18"/>
              </w:rPr>
              <w:t>.</w:t>
            </w:r>
            <w:r w:rsidR="001F3829">
              <w:rPr>
                <w:sz w:val="18"/>
                <w:szCs w:val="18"/>
              </w:rPr>
              <w:t xml:space="preserve">  The heat input rate is expected to increase by up to 5 % in the winter peak mode; therefore PAE were calculated as PAE = </w:t>
            </w:r>
            <w:r w:rsidR="001F3829" w:rsidRPr="001F3829">
              <w:rPr>
                <w:sz w:val="18"/>
                <w:szCs w:val="18"/>
              </w:rPr>
              <w:t>BAE x [0.56 + 0.44x1.05] = 1.022 x BAE</w:t>
            </w:r>
            <w:r w:rsidR="001F3829">
              <w:rPr>
                <w:sz w:val="18"/>
                <w:szCs w:val="18"/>
              </w:rPr>
              <w:t xml:space="preserve">, where 0.44 accounts </w:t>
            </w:r>
            <w:r w:rsidR="001F3829" w:rsidRPr="001F3829">
              <w:rPr>
                <w:sz w:val="18"/>
                <w:szCs w:val="18"/>
              </w:rPr>
              <w:t>for the percent of the time the units could operate during winter peak</w:t>
            </w:r>
            <w:r w:rsidR="001F3829">
              <w:rPr>
                <w:sz w:val="18"/>
                <w:szCs w:val="18"/>
              </w:rPr>
              <w:t xml:space="preserve">, </w:t>
            </w:r>
            <w:r w:rsidR="001F3829" w:rsidRPr="001F3829">
              <w:rPr>
                <w:sz w:val="18"/>
                <w:szCs w:val="18"/>
              </w:rPr>
              <w:t>1.05 accounts for 5% increase in emissions during 44% of the time</w:t>
            </w:r>
            <w:r w:rsidR="001F3829">
              <w:rPr>
                <w:sz w:val="18"/>
                <w:szCs w:val="18"/>
              </w:rPr>
              <w:t xml:space="preserve">, and </w:t>
            </w:r>
            <w:r w:rsidR="001F3829" w:rsidRPr="001F3829">
              <w:rPr>
                <w:sz w:val="18"/>
                <w:szCs w:val="18"/>
              </w:rPr>
              <w:t>0.56 is the percent of the time the emissions will remain unchanged</w:t>
            </w:r>
            <w:r w:rsidR="001F3829">
              <w:rPr>
                <w:sz w:val="18"/>
                <w:szCs w:val="18"/>
              </w:rPr>
              <w:t>.</w:t>
            </w:r>
          </w:p>
          <w:p w:rsidR="00CB2F79" w:rsidRPr="006675D4" w:rsidRDefault="00CB2F79" w:rsidP="00A67A8D">
            <w:pPr>
              <w:pStyle w:val="BodyTextIndent"/>
              <w:widowControl w:val="0"/>
              <w:numPr>
                <w:ilvl w:val="0"/>
                <w:numId w:val="10"/>
              </w:numPr>
              <w:spacing w:after="0"/>
              <w:rPr>
                <w:sz w:val="18"/>
                <w:szCs w:val="18"/>
              </w:rPr>
            </w:pPr>
            <w:r w:rsidRPr="0082717F">
              <w:rPr>
                <w:sz w:val="18"/>
                <w:szCs w:val="18"/>
              </w:rPr>
              <w:t xml:space="preserve">The increase in emissions from the project is the difference between the </w:t>
            </w:r>
            <w:r>
              <w:rPr>
                <w:sz w:val="18"/>
                <w:szCs w:val="18"/>
              </w:rPr>
              <w:t xml:space="preserve">sum of </w:t>
            </w:r>
            <w:r w:rsidRPr="0082717F">
              <w:rPr>
                <w:sz w:val="18"/>
                <w:szCs w:val="18"/>
              </w:rPr>
              <w:t>PAE</w:t>
            </w:r>
            <w:r>
              <w:rPr>
                <w:sz w:val="18"/>
                <w:szCs w:val="18"/>
              </w:rPr>
              <w:t xml:space="preserve"> </w:t>
            </w:r>
            <w:r w:rsidRPr="0082717F">
              <w:rPr>
                <w:sz w:val="18"/>
                <w:szCs w:val="18"/>
              </w:rPr>
              <w:t>and BAE.</w:t>
            </w:r>
          </w:p>
        </w:tc>
      </w:tr>
    </w:tbl>
    <w:p w:rsidR="00CB2F79" w:rsidRDefault="00CB2F79" w:rsidP="00CB2F79">
      <w:pPr>
        <w:spacing w:before="240" w:after="120"/>
        <w:rPr>
          <w:sz w:val="22"/>
        </w:rPr>
      </w:pPr>
      <w:bookmarkStart w:id="10" w:name="_Hlk82772595"/>
      <w:r w:rsidRPr="006F0C1F">
        <w:rPr>
          <w:sz w:val="22"/>
        </w:rPr>
        <w:t xml:space="preserve">As shown in </w:t>
      </w:r>
      <w:r w:rsidRPr="006F0C1F">
        <w:rPr>
          <w:sz w:val="22"/>
        </w:rPr>
        <w:fldChar w:fldCharType="begin"/>
      </w:r>
      <w:r w:rsidRPr="006F0C1F">
        <w:rPr>
          <w:sz w:val="22"/>
        </w:rPr>
        <w:instrText xml:space="preserve"> REF _Ref82772528 \h  \* MERGEFORMAT </w:instrText>
      </w:r>
      <w:r w:rsidRPr="006F0C1F">
        <w:rPr>
          <w:sz w:val="22"/>
        </w:rPr>
      </w:r>
      <w:r w:rsidRPr="006F0C1F">
        <w:rPr>
          <w:sz w:val="22"/>
        </w:rPr>
        <w:fldChar w:fldCharType="separate"/>
      </w:r>
      <w:r w:rsidRPr="00A6532D">
        <w:rPr>
          <w:b/>
          <w:bCs/>
          <w:sz w:val="22"/>
          <w:szCs w:val="22"/>
        </w:rPr>
        <w:t xml:space="preserve">Table </w:t>
      </w:r>
      <w:r w:rsidRPr="00A6532D">
        <w:rPr>
          <w:b/>
          <w:bCs/>
          <w:noProof/>
          <w:sz w:val="22"/>
          <w:szCs w:val="22"/>
        </w:rPr>
        <w:t>4</w:t>
      </w:r>
      <w:r w:rsidRPr="006F0C1F">
        <w:rPr>
          <w:sz w:val="22"/>
        </w:rPr>
        <w:fldChar w:fldCharType="end"/>
      </w:r>
      <w:r w:rsidRPr="006F0C1F">
        <w:rPr>
          <w:sz w:val="22"/>
        </w:rPr>
        <w:t>, total project emissions will not exceed the PSD significant emissions rates; therefore, the project is not subject to PSD preconstruction review.</w:t>
      </w:r>
      <w:bookmarkEnd w:id="10"/>
    </w:p>
    <w:p w:rsidR="00193F10" w:rsidRPr="00F06C57" w:rsidRDefault="00617209" w:rsidP="00F06C57">
      <w:pPr>
        <w:pStyle w:val="ListParagraph"/>
        <w:numPr>
          <w:ilvl w:val="0"/>
          <w:numId w:val="6"/>
        </w:numPr>
        <w:spacing w:after="120"/>
        <w:ind w:left="720" w:hanging="720"/>
        <w:contextualSpacing w:val="0"/>
        <w:rPr>
          <w:b/>
          <w:caps/>
          <w:sz w:val="22"/>
          <w:szCs w:val="22"/>
        </w:rPr>
      </w:pPr>
      <w:r>
        <w:rPr>
          <w:b/>
          <w:caps/>
          <w:sz w:val="22"/>
        </w:rPr>
        <w:t>Department review</w:t>
      </w:r>
    </w:p>
    <w:p w:rsidR="00967C4C" w:rsidRPr="00F06C57" w:rsidRDefault="00554731" w:rsidP="00F06C57">
      <w:pPr>
        <w:pStyle w:val="ListParagraph"/>
        <w:numPr>
          <w:ilvl w:val="1"/>
          <w:numId w:val="6"/>
        </w:numPr>
        <w:spacing w:after="120"/>
        <w:ind w:left="720" w:hanging="720"/>
        <w:contextualSpacing w:val="0"/>
        <w:rPr>
          <w:b/>
          <w:caps/>
          <w:sz w:val="22"/>
          <w:szCs w:val="22"/>
        </w:rPr>
      </w:pPr>
      <w:r>
        <w:rPr>
          <w:b/>
          <w:sz w:val="22"/>
        </w:rPr>
        <w:t>Project Overview</w:t>
      </w:r>
    </w:p>
    <w:p w:rsidR="00554731" w:rsidRDefault="00187822" w:rsidP="00554731">
      <w:pPr>
        <w:pStyle w:val="BodyText"/>
        <w:widowControl w:val="0"/>
        <w:rPr>
          <w:bCs/>
          <w:sz w:val="22"/>
        </w:rPr>
      </w:pPr>
      <w:r>
        <w:rPr>
          <w:bCs/>
          <w:sz w:val="22"/>
        </w:rPr>
        <w:t>The applicant seeks authorization to implement winter upgrades to Unit 3.  According to the application, given the recent events in Texas related to record low temperatures during this past 2021 winter that resulted in significant power loss in that state, FPL is proactively trying to mitigate potential impacts related to weather extremes that might occur more frequently in the future.  Accordingly, FPL is proposing to implement winter upgrades that will increase the turbine shaft control limits to accommodate the production of more MWs during operation at temperatures below 59</w:t>
      </w:r>
      <w:r>
        <w:rPr>
          <w:bCs/>
          <w:sz w:val="22"/>
          <w:vertAlign w:val="superscript"/>
        </w:rPr>
        <w:t>o</w:t>
      </w:r>
      <w:r>
        <w:rPr>
          <w:bCs/>
          <w:sz w:val="22"/>
        </w:rPr>
        <w:t>F.</w:t>
      </w:r>
    </w:p>
    <w:p w:rsidR="00187822" w:rsidRPr="00F06C57" w:rsidRDefault="00187822" w:rsidP="00F06C57">
      <w:pPr>
        <w:pStyle w:val="ListParagraph"/>
        <w:numPr>
          <w:ilvl w:val="1"/>
          <w:numId w:val="6"/>
        </w:numPr>
        <w:spacing w:after="120"/>
        <w:ind w:left="720" w:hanging="720"/>
        <w:contextualSpacing w:val="0"/>
        <w:rPr>
          <w:b/>
          <w:caps/>
          <w:sz w:val="22"/>
          <w:szCs w:val="22"/>
        </w:rPr>
      </w:pPr>
      <w:r>
        <w:rPr>
          <w:b/>
          <w:sz w:val="22"/>
        </w:rPr>
        <w:t>Winter Upgrades</w:t>
      </w:r>
    </w:p>
    <w:p w:rsidR="00187822" w:rsidRDefault="00187822" w:rsidP="00187822">
      <w:pPr>
        <w:pStyle w:val="BodyText"/>
        <w:widowControl w:val="0"/>
        <w:rPr>
          <w:bCs/>
          <w:sz w:val="22"/>
        </w:rPr>
      </w:pPr>
      <w:r>
        <w:rPr>
          <w:bCs/>
          <w:sz w:val="22"/>
        </w:rPr>
        <w:t xml:space="preserve">Winter upgrades include software changes that will increase the setting in the turbine shaft limit and will enable the production of more MWs at lower temperatures.  </w:t>
      </w:r>
      <w:r w:rsidRPr="003B4BAC">
        <w:rPr>
          <w:bCs/>
          <w:sz w:val="22"/>
        </w:rPr>
        <w:t>These lower temperatures, i.e. temperatures at or below 59</w:t>
      </w:r>
      <w:r w:rsidRPr="003B4BAC">
        <w:rPr>
          <w:bCs/>
          <w:sz w:val="22"/>
          <w:vertAlign w:val="superscript"/>
        </w:rPr>
        <w:t>o</w:t>
      </w:r>
      <w:r w:rsidRPr="003B4BAC">
        <w:rPr>
          <w:bCs/>
          <w:sz w:val="22"/>
        </w:rPr>
        <w:t xml:space="preserve">F, are referred to as “winter baseload” or “winter peak” </w:t>
      </w:r>
      <w:r>
        <w:rPr>
          <w:bCs/>
          <w:sz w:val="22"/>
        </w:rPr>
        <w:t>for the purposes of this project.  As ambient inlet air temperature decreases, the air density increases which results in a greater air mass flow to the turbine.  Generally, the higher the air mass flow, the greater the power output of the turbine.  Under current turbine conditions, when the temperature decreases below 59</w:t>
      </w:r>
      <w:r>
        <w:rPr>
          <w:bCs/>
          <w:sz w:val="22"/>
          <w:vertAlign w:val="superscript"/>
        </w:rPr>
        <w:t>o</w:t>
      </w:r>
      <w:r>
        <w:rPr>
          <w:bCs/>
          <w:sz w:val="22"/>
        </w:rPr>
        <w:t>F, the air mass flow to the turbine is higher but the power output is not changed as it is limited by the limits set on the turbine shaft.  Increasing the limit setting of the turbine shaft so that it can accommodate the higher air mass flow available at lower temperatures comes at a cost to the turbine.  Higher shaft settings can result in shorter turbine maintenance intervals.  As such, winter baseload/peak operation is expected to be used only when the higher power output from the facility is really needed.  Specific modifications that are being proposed for winter upgrades include:</w:t>
      </w:r>
    </w:p>
    <w:p w:rsidR="00187822" w:rsidRDefault="00187822" w:rsidP="00187822">
      <w:pPr>
        <w:pStyle w:val="BodyText"/>
        <w:widowControl w:val="0"/>
        <w:numPr>
          <w:ilvl w:val="0"/>
          <w:numId w:val="15"/>
        </w:numPr>
        <w:rPr>
          <w:bCs/>
          <w:sz w:val="22"/>
        </w:rPr>
      </w:pPr>
      <w:r>
        <w:rPr>
          <w:bCs/>
          <w:sz w:val="22"/>
        </w:rPr>
        <w:t>Turbine shaft control limit setting changes from 207 MW to 225 MW; and</w:t>
      </w:r>
    </w:p>
    <w:p w:rsidR="00187822" w:rsidRDefault="00187822" w:rsidP="00187822">
      <w:pPr>
        <w:pStyle w:val="BodyText"/>
        <w:widowControl w:val="0"/>
        <w:numPr>
          <w:ilvl w:val="0"/>
          <w:numId w:val="15"/>
        </w:numPr>
        <w:rPr>
          <w:bCs/>
          <w:sz w:val="22"/>
        </w:rPr>
      </w:pPr>
      <w:r>
        <w:rPr>
          <w:bCs/>
          <w:sz w:val="22"/>
        </w:rPr>
        <w:t>Software changes to enable a winter peak firing mode of operation.</w:t>
      </w:r>
    </w:p>
    <w:p w:rsidR="00187822" w:rsidRDefault="00187822" w:rsidP="00187822">
      <w:pPr>
        <w:pStyle w:val="BodyText"/>
        <w:widowControl w:val="0"/>
        <w:rPr>
          <w:bCs/>
          <w:sz w:val="22"/>
        </w:rPr>
      </w:pPr>
      <w:bookmarkStart w:id="11" w:name="_Hlk85181966"/>
      <w:r>
        <w:rPr>
          <w:bCs/>
          <w:sz w:val="22"/>
        </w:rPr>
        <w:t>The facility anticipates performing the winter upgrades and testing the additional winter capability of the units during the winter months this year, during the November/December outage.</w:t>
      </w:r>
      <w:bookmarkEnd w:id="11"/>
    </w:p>
    <w:p w:rsidR="00193F10" w:rsidRPr="00F06C57" w:rsidRDefault="00193F10" w:rsidP="00F06C57">
      <w:pPr>
        <w:pStyle w:val="ListParagraph"/>
        <w:numPr>
          <w:ilvl w:val="1"/>
          <w:numId w:val="6"/>
        </w:numPr>
        <w:spacing w:after="120"/>
        <w:ind w:left="720" w:hanging="720"/>
        <w:contextualSpacing w:val="0"/>
        <w:rPr>
          <w:b/>
          <w:caps/>
          <w:sz w:val="22"/>
          <w:szCs w:val="22"/>
        </w:rPr>
      </w:pPr>
      <w:r w:rsidRPr="00193F10">
        <w:rPr>
          <w:b/>
          <w:sz w:val="22"/>
        </w:rPr>
        <w:t>Brief Discussion of Emissions</w:t>
      </w:r>
    </w:p>
    <w:p w:rsidR="00193F10" w:rsidRPr="000B4B28" w:rsidRDefault="0062056B" w:rsidP="00B960D9">
      <w:pPr>
        <w:widowControl w:val="0"/>
        <w:autoSpaceDE w:val="0"/>
        <w:autoSpaceDN w:val="0"/>
        <w:adjustRightInd w:val="0"/>
        <w:spacing w:after="120"/>
        <w:rPr>
          <w:sz w:val="22"/>
          <w:szCs w:val="22"/>
        </w:rPr>
      </w:pPr>
      <w:r>
        <w:rPr>
          <w:sz w:val="22"/>
          <w:szCs w:val="22"/>
        </w:rPr>
        <w:t xml:space="preserve">Emissions from the project are as shown in </w:t>
      </w:r>
      <w:r>
        <w:rPr>
          <w:sz w:val="22"/>
        </w:rPr>
        <w:fldChar w:fldCharType="begin"/>
      </w:r>
      <w:r>
        <w:rPr>
          <w:sz w:val="22"/>
        </w:rPr>
        <w:instrText xml:space="preserve"> REF _Ref82772528 \h  \* MERGEFORMAT </w:instrText>
      </w:r>
      <w:r>
        <w:rPr>
          <w:sz w:val="22"/>
        </w:rPr>
      </w:r>
      <w:r>
        <w:rPr>
          <w:sz w:val="22"/>
        </w:rPr>
        <w:fldChar w:fldCharType="separate"/>
      </w:r>
      <w:r w:rsidRPr="00D11DDB">
        <w:rPr>
          <w:b/>
          <w:bCs/>
          <w:sz w:val="22"/>
          <w:szCs w:val="22"/>
        </w:rPr>
        <w:t xml:space="preserve">Table </w:t>
      </w:r>
      <w:r w:rsidRPr="00D11DDB">
        <w:rPr>
          <w:b/>
          <w:bCs/>
          <w:noProof/>
          <w:sz w:val="22"/>
          <w:szCs w:val="22"/>
        </w:rPr>
        <w:t>4</w:t>
      </w:r>
      <w:r>
        <w:rPr>
          <w:sz w:val="22"/>
        </w:rPr>
        <w:fldChar w:fldCharType="end"/>
      </w:r>
      <w:r>
        <w:rPr>
          <w:sz w:val="22"/>
        </w:rPr>
        <w:t>.  Since the total project emissions will not exceed the PSD significant emissions rates, the project is not subject to PSD preconstruction review.</w:t>
      </w:r>
    </w:p>
    <w:p w:rsidR="00686486" w:rsidRPr="00F06C57" w:rsidRDefault="00B7612C" w:rsidP="00F06C57">
      <w:pPr>
        <w:pStyle w:val="ListParagraph"/>
        <w:numPr>
          <w:ilvl w:val="1"/>
          <w:numId w:val="6"/>
        </w:numPr>
        <w:spacing w:after="120"/>
        <w:ind w:left="720" w:hanging="720"/>
        <w:contextualSpacing w:val="0"/>
        <w:rPr>
          <w:b/>
          <w:caps/>
          <w:sz w:val="22"/>
          <w:szCs w:val="22"/>
        </w:rPr>
      </w:pPr>
      <w:r>
        <w:rPr>
          <w:b/>
          <w:sz w:val="22"/>
        </w:rPr>
        <w:t>Federal NSPS Provisions</w:t>
      </w:r>
    </w:p>
    <w:p w:rsidR="00F06C57" w:rsidRDefault="002A0BAD" w:rsidP="00B960D9">
      <w:pPr>
        <w:widowControl w:val="0"/>
        <w:autoSpaceDE w:val="0"/>
        <w:autoSpaceDN w:val="0"/>
        <w:adjustRightInd w:val="0"/>
        <w:spacing w:after="120"/>
        <w:rPr>
          <w:iCs/>
          <w:sz w:val="22"/>
          <w:szCs w:val="22"/>
        </w:rPr>
      </w:pPr>
      <w:r>
        <w:rPr>
          <w:iCs/>
          <w:sz w:val="22"/>
          <w:szCs w:val="22"/>
        </w:rPr>
        <w:t>EUs 004-005, Combined Cycle CTs with Unfired HRSG, are currently subject to 40 CFR 60, Subpart A – General Provisions and 40 CFR 60, Subpart KKKK – Standards of Performance for Stationary Combustion Turbines.  The draft permit will not change any currently applicable requirements regarding these regulations.</w:t>
      </w:r>
    </w:p>
    <w:p w:rsidR="00F06C57" w:rsidRDefault="00F06C57">
      <w:pPr>
        <w:rPr>
          <w:iCs/>
          <w:sz w:val="22"/>
          <w:szCs w:val="22"/>
        </w:rPr>
      </w:pPr>
      <w:r>
        <w:rPr>
          <w:iCs/>
          <w:sz w:val="22"/>
          <w:szCs w:val="22"/>
        </w:rPr>
        <w:br w:type="page"/>
      </w:r>
    </w:p>
    <w:p w:rsidR="00686486" w:rsidRPr="00F06C57" w:rsidRDefault="00686486" w:rsidP="00F06C57">
      <w:pPr>
        <w:pStyle w:val="ListParagraph"/>
        <w:numPr>
          <w:ilvl w:val="1"/>
          <w:numId w:val="6"/>
        </w:numPr>
        <w:spacing w:after="120"/>
        <w:ind w:left="720" w:hanging="720"/>
        <w:contextualSpacing w:val="0"/>
        <w:rPr>
          <w:b/>
          <w:caps/>
          <w:sz w:val="22"/>
          <w:szCs w:val="22"/>
        </w:rPr>
      </w:pPr>
      <w:r w:rsidRPr="00405FB0">
        <w:rPr>
          <w:b/>
          <w:sz w:val="22"/>
        </w:rPr>
        <w:lastRenderedPageBreak/>
        <w:t xml:space="preserve">Federal NESHAP </w:t>
      </w:r>
      <w:r w:rsidR="00B7612C">
        <w:rPr>
          <w:b/>
          <w:sz w:val="22"/>
        </w:rPr>
        <w:t>Provisions</w:t>
      </w:r>
    </w:p>
    <w:p w:rsidR="00B7612C" w:rsidRPr="000B4B28" w:rsidRDefault="002A0BAD" w:rsidP="00B960D9">
      <w:pPr>
        <w:widowControl w:val="0"/>
        <w:autoSpaceDE w:val="0"/>
        <w:autoSpaceDN w:val="0"/>
        <w:adjustRightInd w:val="0"/>
        <w:spacing w:after="120"/>
        <w:rPr>
          <w:sz w:val="22"/>
          <w:szCs w:val="22"/>
        </w:rPr>
      </w:pPr>
      <w:r>
        <w:rPr>
          <w:sz w:val="22"/>
          <w:szCs w:val="24"/>
        </w:rPr>
        <w:t xml:space="preserve">On March 5, 2004, EPA promulgated 40 CFR 63, Subpart YYYY – National Emission Standards for Hazardous Air Pollutants for Stationary Combustion Turbines built after January 14, 2003.  </w:t>
      </w:r>
      <w:r>
        <w:rPr>
          <w:sz w:val="22"/>
          <w:szCs w:val="22"/>
        </w:rPr>
        <w:t>EUs. 004-005</w:t>
      </w:r>
      <w:r>
        <w:rPr>
          <w:sz w:val="22"/>
          <w:szCs w:val="24"/>
        </w:rPr>
        <w:t xml:space="preserve"> were under contractual obligations before this date and are, therefore, existing units.  Currently, ‘existing combustion turbines’ are </w:t>
      </w:r>
      <w:r>
        <w:rPr>
          <w:sz w:val="22"/>
          <w:szCs w:val="24"/>
          <w:u w:val="single"/>
        </w:rPr>
        <w:t>not</w:t>
      </w:r>
      <w:r>
        <w:rPr>
          <w:sz w:val="22"/>
          <w:szCs w:val="24"/>
        </w:rPr>
        <w:t xml:space="preserve"> required to meet the emission limitations, notifications, reporting or any other requirements of Subpart YYYY, in accordance with 40 CFR 63.6090(b)(4).</w:t>
      </w:r>
    </w:p>
    <w:p w:rsidR="00193F10" w:rsidRPr="000B4B28" w:rsidRDefault="00193F10" w:rsidP="00F06C57">
      <w:pPr>
        <w:pStyle w:val="ListParagraph"/>
        <w:numPr>
          <w:ilvl w:val="0"/>
          <w:numId w:val="6"/>
        </w:numPr>
        <w:spacing w:after="120"/>
        <w:ind w:left="720" w:hanging="720"/>
        <w:contextualSpacing w:val="0"/>
        <w:rPr>
          <w:b/>
          <w:caps/>
          <w:sz w:val="22"/>
        </w:rPr>
      </w:pPr>
      <w:r w:rsidRPr="000B4B28">
        <w:rPr>
          <w:b/>
          <w:caps/>
          <w:sz w:val="22"/>
        </w:rPr>
        <w:t>Preliminary Determination</w:t>
      </w:r>
    </w:p>
    <w:p w:rsidR="00193F10" w:rsidRDefault="00193F10" w:rsidP="00B960D9">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607F8D">
        <w:rPr>
          <w:sz w:val="22"/>
        </w:rPr>
        <w:t>Pawan Subramaniam</w:t>
      </w:r>
      <w:r>
        <w:rPr>
          <w:sz w:val="22"/>
        </w:rPr>
        <w:t xml:space="preserve"> is the project engineer responsible for reviewing the application and drafting the permit.  Additional details of this analysis may be obtained by contacting the project engineer at the Department’s </w:t>
      </w:r>
      <w:r w:rsidR="009F6095">
        <w:rPr>
          <w:sz w:val="22"/>
        </w:rPr>
        <w:t>Office of Permitting and Compliance</w:t>
      </w:r>
      <w:r>
        <w:rPr>
          <w:sz w:val="22"/>
        </w:rPr>
        <w:t xml:space="preserve"> at Mail Station #5505, 2600 Blair</w:t>
      </w:r>
      <w:r w:rsidR="00FF52D5">
        <w:rPr>
          <w:sz w:val="22"/>
        </w:rPr>
        <w:t xml:space="preserve"> S</w:t>
      </w:r>
      <w:r>
        <w:rPr>
          <w:sz w:val="22"/>
        </w:rPr>
        <w:t>tone Road, Tallahassee, Florida  32399-2400</w:t>
      </w:r>
      <w:r w:rsidR="003C5D7A">
        <w:rPr>
          <w:sz w:val="22"/>
        </w:rPr>
        <w:t xml:space="preserve"> at 850/717-</w:t>
      </w:r>
      <w:r w:rsidR="00607F8D">
        <w:rPr>
          <w:sz w:val="22"/>
        </w:rPr>
        <w:t>9033</w:t>
      </w:r>
      <w:r w:rsidR="003C5D7A">
        <w:rPr>
          <w:sz w:val="22"/>
        </w:rPr>
        <w:t xml:space="preserve"> or by email </w:t>
      </w:r>
      <w:hyperlink r:id="rId13" w:history="1">
        <w:r w:rsidR="00607F8D" w:rsidRPr="00840B49">
          <w:rPr>
            <w:rStyle w:val="Hyperlink"/>
            <w:sz w:val="22"/>
          </w:rPr>
          <w:t>Pawan.Subramaniam@dep.state.fl.us</w:t>
        </w:r>
      </w:hyperlink>
      <w:r w:rsidR="002968C8">
        <w:rPr>
          <w:sz w:val="22"/>
        </w:rPr>
        <w:t>.</w:t>
      </w:r>
    </w:p>
    <w:sectPr w:rsidR="00193F10" w:rsidSect="00F06C57">
      <w:headerReference w:type="default" r:id="rId14"/>
      <w:footerReference w:type="default" r:id="rId15"/>
      <w:headerReference w:type="first" r:id="rId16"/>
      <w:footerReference w:type="first" r:id="rId17"/>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044B" w:rsidRDefault="0066044B">
      <w:r>
        <w:separator/>
      </w:r>
    </w:p>
  </w:endnote>
  <w:endnote w:type="continuationSeparator" w:id="0">
    <w:p w:rsidR="0066044B" w:rsidRDefault="0066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39F" w:rsidRDefault="000B0FC9" w:rsidP="00F06C57">
    <w:pPr>
      <w:pBdr>
        <w:top w:val="single" w:sz="4" w:space="1" w:color="auto"/>
      </w:pBdr>
      <w:tabs>
        <w:tab w:val="right" w:pos="10080"/>
      </w:tabs>
      <w:spacing w:before="240"/>
      <w:rPr>
        <w:rStyle w:val="PageNumber"/>
      </w:rPr>
    </w:pPr>
    <w:r w:rsidRPr="000B0FC9">
      <w:rPr>
        <w:rStyle w:val="PageNumber"/>
      </w:rPr>
      <w:t>Florida Power and Light Company</w:t>
    </w:r>
    <w:r w:rsidR="0019139F" w:rsidRPr="000B0FC9">
      <w:rPr>
        <w:rStyle w:val="PageNumber"/>
      </w:rPr>
      <w:tab/>
    </w:r>
    <w:r w:rsidR="0019139F">
      <w:rPr>
        <w:rStyle w:val="PageNumber"/>
      </w:rPr>
      <w:t xml:space="preserve">Air Permit No. </w:t>
    </w:r>
    <w:r>
      <w:rPr>
        <w:rStyle w:val="PageNumber"/>
      </w:rPr>
      <w:t>0050014-035</w:t>
    </w:r>
    <w:r w:rsidR="0019139F">
      <w:rPr>
        <w:rStyle w:val="PageNumber"/>
      </w:rPr>
      <w:t>-AC</w:t>
    </w:r>
  </w:p>
  <w:p w:rsidR="0019139F" w:rsidRDefault="000B0FC9" w:rsidP="0019139F">
    <w:pPr>
      <w:tabs>
        <w:tab w:val="right" w:pos="10080"/>
      </w:tabs>
      <w:rPr>
        <w:rStyle w:val="PageNumber"/>
      </w:rPr>
    </w:pPr>
    <w:bookmarkStart w:id="12" w:name="_Hlk85632989"/>
    <w:r w:rsidRPr="000B0FC9">
      <w:rPr>
        <w:rStyle w:val="PageNumber"/>
      </w:rPr>
      <w:t>Smith Electric Generating Plant</w:t>
    </w:r>
    <w:bookmarkEnd w:id="12"/>
    <w:r w:rsidR="0019139F">
      <w:rPr>
        <w:rStyle w:val="PageNumber"/>
      </w:rPr>
      <w:tab/>
    </w:r>
    <w:r w:rsidRPr="000B0FC9">
      <w:rPr>
        <w:rStyle w:val="PageNumber"/>
      </w:rPr>
      <w:t>Winter Upgrades to Unit 3</w:t>
    </w:r>
  </w:p>
  <w:p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C14BC5">
      <w:rPr>
        <w:rStyle w:val="PageNumber"/>
        <w:noProof/>
      </w:rPr>
      <w:t>5</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C14BC5">
      <w:rPr>
        <w:rStyle w:val="PageNumber"/>
        <w:noProof/>
      </w:rPr>
      <w:t>5</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044B" w:rsidRDefault="0066044B">
      <w:r>
        <w:separator/>
      </w:r>
    </w:p>
  </w:footnote>
  <w:footnote w:type="continuationSeparator" w:id="0">
    <w:p w:rsidR="0066044B" w:rsidRDefault="00660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C10CE"/>
    <w:multiLevelType w:val="hybridMultilevel"/>
    <w:tmpl w:val="D4A2C43C"/>
    <w:lvl w:ilvl="0" w:tplc="445604F8">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B41919"/>
    <w:multiLevelType w:val="hybridMultilevel"/>
    <w:tmpl w:val="2B748DE4"/>
    <w:lvl w:ilvl="0" w:tplc="FDF8BA38">
      <w:start w:val="1"/>
      <w:numFmt w:val="decimal"/>
      <w:lvlText w:val="3.%1."/>
      <w:lvlJc w:val="left"/>
      <w:pPr>
        <w:ind w:left="360" w:hanging="360"/>
      </w:pPr>
      <w:rPr>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9A14721"/>
    <w:multiLevelType w:val="hybridMultilevel"/>
    <w:tmpl w:val="EDD2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BF80A73"/>
    <w:multiLevelType w:val="hybridMultilevel"/>
    <w:tmpl w:val="0E24E9B6"/>
    <w:lvl w:ilvl="0" w:tplc="31782DBE">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B56331"/>
    <w:multiLevelType w:val="hybridMultilevel"/>
    <w:tmpl w:val="86A636F4"/>
    <w:lvl w:ilvl="0" w:tplc="912A6B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8"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F527E60"/>
    <w:multiLevelType w:val="multilevel"/>
    <w:tmpl w:val="0409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6534618"/>
    <w:multiLevelType w:val="hybridMultilevel"/>
    <w:tmpl w:val="AD68DBF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9CB400F"/>
    <w:multiLevelType w:val="hybridMultilevel"/>
    <w:tmpl w:val="B9F0C37C"/>
    <w:lvl w:ilvl="0" w:tplc="EA1CB7DA">
      <w:start w:val="1"/>
      <w:numFmt w:val="lowerLetter"/>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1319C"/>
    <w:multiLevelType w:val="hybridMultilevel"/>
    <w:tmpl w:val="46B4EA3C"/>
    <w:lvl w:ilvl="0" w:tplc="AFD287D2">
      <w:start w:val="1"/>
      <w:numFmt w:val="lowerLetter"/>
      <w:lvlText w:val="%1."/>
      <w:lvlJc w:val="left"/>
      <w:pPr>
        <w:tabs>
          <w:tab w:val="num" w:pos="1080"/>
        </w:tabs>
        <w:ind w:left="1080" w:hanging="360"/>
      </w:pPr>
      <w:rPr>
        <w:i w:val="0"/>
        <w:sz w:val="18"/>
        <w:szCs w:val="1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13"/>
  </w:num>
  <w:num w:numId="3">
    <w:abstractNumId w:val="0"/>
  </w:num>
  <w:num w:numId="4">
    <w:abstractNumId w:val="5"/>
  </w:num>
  <w:num w:numId="5">
    <w:abstractNumId w:val="10"/>
  </w:num>
  <w:num w:numId="6">
    <w:abstractNumId w:val="9"/>
  </w:num>
  <w:num w:numId="7">
    <w:abstractNumId w:val="6"/>
  </w:num>
  <w:num w:numId="8">
    <w:abstractNumId w:val="1"/>
  </w:num>
  <w:num w:numId="9">
    <w:abstractNumId w:val="4"/>
  </w:num>
  <w:num w:numId="10">
    <w:abstractNumId w:val="12"/>
  </w:num>
  <w:num w:numId="11">
    <w:abstractNumId w:val="11"/>
  </w:num>
  <w:num w:numId="12">
    <w:abstractNumId w:val="0"/>
  </w:num>
  <w:num w:numId="13">
    <w:abstractNumId w:val="14"/>
  </w:num>
  <w:num w:numId="14">
    <w:abstractNumId w:val="2"/>
  </w:num>
  <w:num w:numId="15">
    <w:abstractNumId w:val="3"/>
  </w:num>
  <w:num w:numId="16">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F10"/>
    <w:rsid w:val="000B0FC9"/>
    <w:rsid w:val="000B3948"/>
    <w:rsid w:val="000B4B28"/>
    <w:rsid w:val="000C5143"/>
    <w:rsid w:val="000E42D3"/>
    <w:rsid w:val="000E6D60"/>
    <w:rsid w:val="00111453"/>
    <w:rsid w:val="00126634"/>
    <w:rsid w:val="00140CD4"/>
    <w:rsid w:val="00160808"/>
    <w:rsid w:val="001771DC"/>
    <w:rsid w:val="00187822"/>
    <w:rsid w:val="0019139F"/>
    <w:rsid w:val="00193F10"/>
    <w:rsid w:val="00194AA6"/>
    <w:rsid w:val="001C4E37"/>
    <w:rsid w:val="001D1649"/>
    <w:rsid w:val="001D487F"/>
    <w:rsid w:val="001D66D6"/>
    <w:rsid w:val="001E2CD6"/>
    <w:rsid w:val="001F3829"/>
    <w:rsid w:val="00201860"/>
    <w:rsid w:val="00213E9E"/>
    <w:rsid w:val="002225DD"/>
    <w:rsid w:val="002968C8"/>
    <w:rsid w:val="002A0BAD"/>
    <w:rsid w:val="002A28C2"/>
    <w:rsid w:val="002F0E6E"/>
    <w:rsid w:val="002F2690"/>
    <w:rsid w:val="00302267"/>
    <w:rsid w:val="00312095"/>
    <w:rsid w:val="00325781"/>
    <w:rsid w:val="0033363A"/>
    <w:rsid w:val="00346552"/>
    <w:rsid w:val="00360830"/>
    <w:rsid w:val="00362B27"/>
    <w:rsid w:val="00362C15"/>
    <w:rsid w:val="003858DE"/>
    <w:rsid w:val="0039482F"/>
    <w:rsid w:val="003A3C29"/>
    <w:rsid w:val="003A60A2"/>
    <w:rsid w:val="003B1E0A"/>
    <w:rsid w:val="003C5D7A"/>
    <w:rsid w:val="003D1956"/>
    <w:rsid w:val="003E3591"/>
    <w:rsid w:val="003E683A"/>
    <w:rsid w:val="003F1AFB"/>
    <w:rsid w:val="003F3477"/>
    <w:rsid w:val="00401C71"/>
    <w:rsid w:val="0040283C"/>
    <w:rsid w:val="0043123B"/>
    <w:rsid w:val="004414F2"/>
    <w:rsid w:val="00446FE7"/>
    <w:rsid w:val="00461B52"/>
    <w:rsid w:val="00466A07"/>
    <w:rsid w:val="0048284D"/>
    <w:rsid w:val="004B5185"/>
    <w:rsid w:val="004C0984"/>
    <w:rsid w:val="004D1D9F"/>
    <w:rsid w:val="004E48C8"/>
    <w:rsid w:val="00554731"/>
    <w:rsid w:val="005D1658"/>
    <w:rsid w:val="005E36E4"/>
    <w:rsid w:val="00607F8D"/>
    <w:rsid w:val="00617209"/>
    <w:rsid w:val="0062056B"/>
    <w:rsid w:val="0065214A"/>
    <w:rsid w:val="0066044B"/>
    <w:rsid w:val="006637B8"/>
    <w:rsid w:val="006675D4"/>
    <w:rsid w:val="00684184"/>
    <w:rsid w:val="00686486"/>
    <w:rsid w:val="006B6EFE"/>
    <w:rsid w:val="00701FEF"/>
    <w:rsid w:val="00703BA6"/>
    <w:rsid w:val="007238CA"/>
    <w:rsid w:val="00741F1A"/>
    <w:rsid w:val="0074503E"/>
    <w:rsid w:val="00762E18"/>
    <w:rsid w:val="007747AA"/>
    <w:rsid w:val="00780D58"/>
    <w:rsid w:val="00782ABD"/>
    <w:rsid w:val="00786837"/>
    <w:rsid w:val="007E5CA3"/>
    <w:rsid w:val="007F7B7E"/>
    <w:rsid w:val="00835018"/>
    <w:rsid w:val="00850561"/>
    <w:rsid w:val="008560BD"/>
    <w:rsid w:val="008603FF"/>
    <w:rsid w:val="008673D3"/>
    <w:rsid w:val="0087009A"/>
    <w:rsid w:val="008736FD"/>
    <w:rsid w:val="00915F63"/>
    <w:rsid w:val="0093238E"/>
    <w:rsid w:val="00955781"/>
    <w:rsid w:val="00967C4C"/>
    <w:rsid w:val="00986BF7"/>
    <w:rsid w:val="009B32D2"/>
    <w:rsid w:val="009F6095"/>
    <w:rsid w:val="00A05D78"/>
    <w:rsid w:val="00A33555"/>
    <w:rsid w:val="00A71757"/>
    <w:rsid w:val="00A938D5"/>
    <w:rsid w:val="00A948F3"/>
    <w:rsid w:val="00AA312E"/>
    <w:rsid w:val="00B103DE"/>
    <w:rsid w:val="00B2315F"/>
    <w:rsid w:val="00B524D4"/>
    <w:rsid w:val="00B61FD5"/>
    <w:rsid w:val="00B7612C"/>
    <w:rsid w:val="00B960D9"/>
    <w:rsid w:val="00BB1087"/>
    <w:rsid w:val="00BC5729"/>
    <w:rsid w:val="00BE0F0E"/>
    <w:rsid w:val="00C02BEB"/>
    <w:rsid w:val="00C06C6D"/>
    <w:rsid w:val="00C14BC5"/>
    <w:rsid w:val="00C502D1"/>
    <w:rsid w:val="00C66E7D"/>
    <w:rsid w:val="00C7510F"/>
    <w:rsid w:val="00C75C6F"/>
    <w:rsid w:val="00CB2F79"/>
    <w:rsid w:val="00D07B72"/>
    <w:rsid w:val="00D1773B"/>
    <w:rsid w:val="00D20DAC"/>
    <w:rsid w:val="00D24F36"/>
    <w:rsid w:val="00D262B1"/>
    <w:rsid w:val="00D4398E"/>
    <w:rsid w:val="00D51D78"/>
    <w:rsid w:val="00D727AB"/>
    <w:rsid w:val="00DA4D8D"/>
    <w:rsid w:val="00DB4E11"/>
    <w:rsid w:val="00DD57BD"/>
    <w:rsid w:val="00E42819"/>
    <w:rsid w:val="00E476AE"/>
    <w:rsid w:val="00E50051"/>
    <w:rsid w:val="00E607EE"/>
    <w:rsid w:val="00E84B3B"/>
    <w:rsid w:val="00EC344E"/>
    <w:rsid w:val="00EE6112"/>
    <w:rsid w:val="00F0416A"/>
    <w:rsid w:val="00F06C57"/>
    <w:rsid w:val="00F242B5"/>
    <w:rsid w:val="00F35406"/>
    <w:rsid w:val="00F71458"/>
    <w:rsid w:val="00F77D22"/>
    <w:rsid w:val="00FF52D5"/>
    <w:rsid w:val="00FF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hapeDefaults>
    <o:shapedefaults v:ext="edit" spidmax="46081"/>
    <o:shapelayout v:ext="edit">
      <o:idmap v:ext="edit" data="1"/>
    </o:shapelayout>
  </w:shapeDefaults>
  <w:decimalSymbol w:val="."/>
  <w:listSeparator w:val=","/>
  <w14:docId w14:val="731E9F39"/>
  <w15:docId w15:val="{E3626B76-9B93-457F-8CF1-46485526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link w:val="Heading9Char"/>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link w:val="BodyText2Char"/>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link w:val="BodyTextChar"/>
    <w:rsid w:val="00F35406"/>
    <w:pPr>
      <w:spacing w:after="120"/>
    </w:pPr>
    <w:rPr>
      <w:sz w:val="24"/>
    </w:rPr>
  </w:style>
  <w:style w:type="paragraph" w:styleId="BodyText3">
    <w:name w:val="Body Text 3"/>
    <w:basedOn w:val="Normal"/>
    <w:link w:val="BodyText3Char"/>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ListParagraph">
    <w:name w:val="List Paragraph"/>
    <w:basedOn w:val="Normal"/>
    <w:uiPriority w:val="34"/>
    <w:qFormat/>
    <w:rsid w:val="003C5D7A"/>
    <w:pPr>
      <w:ind w:left="720"/>
      <w:contextualSpacing/>
    </w:pPr>
  </w:style>
  <w:style w:type="character" w:customStyle="1" w:styleId="Heading9Char">
    <w:name w:val="Heading 9 Char"/>
    <w:basedOn w:val="DefaultParagraphFont"/>
    <w:link w:val="Heading9"/>
    <w:rsid w:val="000B0FC9"/>
    <w:rPr>
      <w:sz w:val="22"/>
      <w:u w:val="single"/>
    </w:rPr>
  </w:style>
  <w:style w:type="character" w:customStyle="1" w:styleId="BodyText3Char">
    <w:name w:val="Body Text 3 Char"/>
    <w:basedOn w:val="DefaultParagraphFont"/>
    <w:link w:val="BodyText3"/>
    <w:rsid w:val="000B0FC9"/>
    <w:rPr>
      <w:sz w:val="22"/>
    </w:rPr>
  </w:style>
  <w:style w:type="character" w:customStyle="1" w:styleId="BodyTextChar">
    <w:name w:val="Body Text Char"/>
    <w:aliases w:val="SCA Body Text Char,SCA Body Text1 Char,SCA Body Text2 Char,SCA Body Text11 Char,BodyText-JEA Char,BT-JEA Char"/>
    <w:basedOn w:val="DefaultParagraphFont"/>
    <w:link w:val="BodyText"/>
    <w:locked/>
    <w:rsid w:val="003D1956"/>
    <w:rPr>
      <w:sz w:val="24"/>
    </w:rPr>
  </w:style>
  <w:style w:type="paragraph" w:styleId="Caption">
    <w:name w:val="caption"/>
    <w:basedOn w:val="Normal"/>
    <w:next w:val="Normal"/>
    <w:unhideWhenUsed/>
    <w:qFormat/>
    <w:rsid w:val="00FF72AC"/>
    <w:pPr>
      <w:spacing w:after="200"/>
    </w:pPr>
    <w:rPr>
      <w:i/>
      <w:iCs/>
      <w:color w:val="1F497D" w:themeColor="text2"/>
      <w:sz w:val="18"/>
      <w:szCs w:val="18"/>
    </w:rPr>
  </w:style>
  <w:style w:type="character" w:customStyle="1" w:styleId="BodyText2Char">
    <w:name w:val="Body Text 2 Char"/>
    <w:basedOn w:val="DefaultParagraphFont"/>
    <w:link w:val="BodyText2"/>
    <w:rsid w:val="00FF72AC"/>
    <w:rPr>
      <w:sz w:val="22"/>
    </w:rPr>
  </w:style>
  <w:style w:type="character" w:styleId="FollowedHyperlink">
    <w:name w:val="FollowedHyperlink"/>
    <w:basedOn w:val="DefaultParagraphFont"/>
    <w:semiHidden/>
    <w:unhideWhenUsed/>
    <w:rsid w:val="003E3591"/>
    <w:rPr>
      <w:color w:val="800080" w:themeColor="followedHyperlink"/>
      <w:u w:val="single"/>
    </w:rPr>
  </w:style>
  <w:style w:type="character" w:styleId="UnresolvedMention">
    <w:name w:val="Unresolved Mention"/>
    <w:basedOn w:val="DefaultParagraphFont"/>
    <w:uiPriority w:val="99"/>
    <w:semiHidden/>
    <w:unhideWhenUsed/>
    <w:rsid w:val="00607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276087">
      <w:bodyDiv w:val="1"/>
      <w:marLeft w:val="0"/>
      <w:marRight w:val="0"/>
      <w:marTop w:val="0"/>
      <w:marBottom w:val="0"/>
      <w:divBdr>
        <w:top w:val="none" w:sz="0" w:space="0" w:color="auto"/>
        <w:left w:val="none" w:sz="0" w:space="0" w:color="auto"/>
        <w:bottom w:val="none" w:sz="0" w:space="0" w:color="auto"/>
        <w:right w:val="none" w:sz="0" w:space="0" w:color="auto"/>
      </w:divBdr>
    </w:div>
    <w:div w:id="1109811239">
      <w:bodyDiv w:val="1"/>
      <w:marLeft w:val="0"/>
      <w:marRight w:val="0"/>
      <w:marTop w:val="0"/>
      <w:marBottom w:val="0"/>
      <w:divBdr>
        <w:top w:val="none" w:sz="0" w:space="0" w:color="auto"/>
        <w:left w:val="none" w:sz="0" w:space="0" w:color="auto"/>
        <w:bottom w:val="none" w:sz="0" w:space="0" w:color="auto"/>
        <w:right w:val="none" w:sz="0" w:space="0" w:color="auto"/>
      </w:divBdr>
    </w:div>
    <w:div w:id="149129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wan.Subramaniam@dep.state.fl.u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epedms.dep.state.fl.us/Oculus/servlet/hitlist?action=hitlist&amp;profile=Permitting_Authorization&amp;type=any&amp;catalog=75&amp;searchByType=Profile&amp;SortBy=Document+Date&amp;_PARA_Facility+Type=N%2FA&amp;_OP_Facility+Type=*&amp;_PARA_Application+Number=0050014035&amp;_OP_Application+Number=%3D&amp;_PARA_County=BAY&amp;_OP_County=%3D&amp;_PARA_Facility-Site+ID=AIR_0050014&amp;_OP_Facility-Site+ID=%3D&amp;_PARA_District=NWD&amp;_OP_District=%3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B5D5E-E023-4BCB-9352-BEFF3EA3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2533</Words>
  <Characters>14913</Characters>
  <Application>Microsoft Office Word</Application>
  <DocSecurity>0</DocSecurity>
  <Lines>244</Lines>
  <Paragraphs>93</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Read, David</cp:lastModifiedBy>
  <cp:revision>26</cp:revision>
  <cp:lastPrinted>2009-02-12T15:11:00Z</cp:lastPrinted>
  <dcterms:created xsi:type="dcterms:W3CDTF">2021-07-15T13:59:00Z</dcterms:created>
  <dcterms:modified xsi:type="dcterms:W3CDTF">2021-11-02T12:53:00Z</dcterms:modified>
</cp:coreProperties>
</file>